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7.jpg" ContentType="image/jpeg"/>
  <Override PartName="/word/media/rId73.jpg" ContentType="image/jpeg"/>
  <Override PartName="/word/media/rId70.jpg" ContentType="image/jpeg"/>
  <Override PartName="/word/media/rId71.jpg" ContentType="image/jpeg"/>
  <Override PartName="/word/media/rId69.jpg" ContentType="image/jpeg"/>
  <Override PartName="/word/media/rId68.jpg" ContentType="image/jpeg"/>
  <Override PartName="/word/media/rId74.jpg" ContentType="image/jpeg"/>
  <Override PartName="/word/media/rId72.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nutrient-rich</w:t>
      </w:r>
      <w:r>
        <w:t xml:space="preserve"> </w:t>
      </w:r>
      <w:r>
        <w:t xml:space="preserve">Piney</w:t>
      </w:r>
      <w:r>
        <w:t xml:space="preserve"> </w:t>
      </w:r>
      <w:r>
        <w:t xml:space="preserve">Point</w:t>
      </w:r>
      <w:r>
        <w:t xml:space="preserve"> </w:t>
      </w:r>
      <w:r>
        <w:t xml:space="preserve">release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Katherine</w:t>
      </w:r>
      <w:r>
        <w:t xml:space="preserve"> </w:t>
      </w:r>
      <w:r>
        <w:t xml:space="preserve">A.</w:t>
      </w:r>
      <w:r>
        <w:t xml:space="preserve"> </w:t>
      </w:r>
      <w:r>
        <w:t xml:space="preserve">Hubbard</w:t>
      </w:r>
      <w:r>
        <w:t xml:space="preserve"> </w:t>
      </w:r>
      <w:r>
        <w:t xml:space="preserve">(</w:t>
      </w:r>
      <w:hyperlink r:id="rId27">
        <w:r>
          <w:rPr>
            <w:rStyle w:val="Hyperlink"/>
          </w:rPr>
          <w:t xml:space="preserve">katherine.hubbard@myfwc.com</w:t>
        </w:r>
      </w:hyperlink>
      <w:r>
        <w:t xml:space="preserve">),</w:t>
      </w:r>
      <w:r>
        <w:t xml:space="preserve"> </w:t>
      </w:r>
      <w:r>
        <w:t xml:space="preserve">Yonggang</w:t>
      </w:r>
      <w:r>
        <w:t xml:space="preserve"> </w:t>
      </w:r>
      <w:r>
        <w:t xml:space="preserve">Liu</w:t>
      </w:r>
      <w:r>
        <w:t xml:space="preserve"> </w:t>
      </w:r>
      <w:r>
        <w:t xml:space="preserve">(</w:t>
      </w:r>
      <w:hyperlink r:id="rId28">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29">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0">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1">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2">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3">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4">
        <w:r>
          <w:rPr>
            <w:rStyle w:val="Hyperlink"/>
          </w:rPr>
          <w:t xml:space="preserve">sscolaro@tbep.org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5">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6">
        <w:r>
          <w:rPr>
            <w:rStyle w:val="Hyperlink"/>
          </w:rPr>
          <w:t xml:space="preserve">dave@sarasotabay.org</w:t>
        </w:r>
      </w:hyperlink>
      <w:r>
        <w:t xml:space="preserve">),</w:t>
      </w:r>
      <w:r>
        <w:t xml:space="preserve"> </w:t>
      </w:r>
      <w:r>
        <w:t xml:space="preserve">Robert</w:t>
      </w:r>
      <w:r>
        <w:t xml:space="preserve"> </w:t>
      </w:r>
      <w:r>
        <w:t xml:space="preserve">H.</w:t>
      </w:r>
      <w:r>
        <w:t xml:space="preserve"> </w:t>
      </w:r>
      <w:r>
        <w:t xml:space="preserve">Weisberg</w:t>
      </w:r>
      <w:r>
        <w:t xml:space="preserve"> </w:t>
      </w:r>
      <w:r>
        <w:t xml:space="preserve">(</w:t>
      </w:r>
      <w:hyperlink r:id="rId37">
        <w:r>
          <w:rPr>
            <w:rStyle w:val="Hyperlink"/>
          </w:rPr>
          <w:t xml:space="preserve">weisberg@usf.edu</w:t>
        </w:r>
      </w:hyperlink>
      <w:r>
        <w:t xml:space="preserve">),</w:t>
      </w:r>
      <w:r>
        <w:t xml:space="preserve"> </w:t>
      </w:r>
      <w:r>
        <w:t xml:space="preserve">Joe</w:t>
      </w:r>
      <w:r>
        <w:t xml:space="preserve"> </w:t>
      </w:r>
      <w:r>
        <w:t xml:space="preserve">Whalen</w:t>
      </w:r>
      <w:r>
        <w:t xml:space="preserve"> </w:t>
      </w:r>
      <w:r>
        <w:t xml:space="preserve">(</w:t>
      </w:r>
      <w:hyperlink r:id="rId38">
        <w:r>
          <w:rPr>
            <w:rStyle w:val="Hyperlink"/>
          </w:rPr>
          <w:t xml:space="preserve">jwhalen@tbep.org</w:t>
        </w:r>
      </w:hyperlink>
      <w:r>
        <w:t xml:space="preserve">)</w:t>
      </w:r>
    </w:p>
    <w:p>
      <w:pPr>
        <w:pStyle w:val="FirstParagraph"/>
      </w:pPr>
      <w:r>
        <w:t xml:space="preserve">Last manuscript build 2022-01-31 17:31:31</w:t>
      </w:r>
    </w:p>
    <w:bookmarkStart w:id="39" w:name="abstract"/>
    <w:p>
      <w:pPr>
        <w:pStyle w:val="Heading1"/>
      </w:pPr>
      <w:r>
        <w:t xml:space="preserve">Abstract</w:t>
      </w:r>
    </w:p>
    <w:p>
      <w:pPr>
        <w:pStyle w:val="FirstParagraph"/>
      </w:pPr>
      <w:r>
        <w:t xml:space="preserve">Legacy mining facilities pose significant risks to aquatic resources. From March 30th to April 9th, 2021, 814 million liters of phosphate mining wastewater and marine dredge water from the Piney Point facility were released into lower Tampa Bay (Florida, USA). This resulted in an estimated addition of 186 metric tons of total nitrogen, exceeding typical annual external nitrogen load estimates to lower Tampa Bay in a matter of days. An initial phytoplankton bloom (non-harmful diatoms) was first observed in April. Filamentous cyanobacteria blooms (</w:t>
      </w:r>
      <w:r>
        <w:rPr>
          <w:iCs/>
          <w:i/>
        </w:rPr>
        <w:t xml:space="preserve">Dapis</w:t>
      </w:r>
      <w:r>
        <w:t xml:space="preserve"> </w:t>
      </w:r>
      <w:r>
        <w:t xml:space="preserve">spp.) peaked in June, followed by a bloom of the red tide organism</w:t>
      </w:r>
      <w:r>
        <w:t xml:space="preserve"> </w:t>
      </w:r>
      <w:r>
        <w:rPr>
          <w:iCs/>
          <w:i/>
        </w:rPr>
        <w:t xml:space="preserve">Karenia brevis</w:t>
      </w:r>
      <w:r>
        <w:t xml:space="preserve">. Reported fish kills tracked</w:t>
      </w:r>
      <w:r>
        <w:t xml:space="preserve"> </w:t>
      </w:r>
      <w:r>
        <w:rPr>
          <w:iCs/>
          <w:i/>
        </w:rPr>
        <w:t xml:space="preserve">K. brevis</w:t>
      </w:r>
      <w:r>
        <w:t xml:space="preserve"> </w:t>
      </w:r>
      <w:r>
        <w:t xml:space="preserve">concentrations, prompting cleanup of over 1600 metric tons of dead fish. Seagrasses had minimal changes over the study period. By comparing these results to baseline environmental monitoring data, we demonstrate adverse water quality changes in response to external nitrogen loads into Tampa Bay.</w:t>
      </w:r>
    </w:p>
    <w:p>
      <w:pPr>
        <w:pStyle w:val="BodyText"/>
      </w:pPr>
      <w:r>
        <w:rPr>
          <w:iCs/>
          <w:i/>
        </w:rPr>
        <w:t xml:space="preserve">Key words</w:t>
      </w:r>
      <w:r>
        <w:t xml:space="preserve">: eutrophication, macroalgae, nitrogen, phosphate mining, seagrass, Tampa Bay</w:t>
      </w:r>
    </w:p>
    <w:bookmarkEnd w:id="39"/>
    <w:bookmarkStart w:id="41"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w:t>
      </w:r>
      <w:r>
        <w:t xml:space="preserve"> </w:t>
      </w:r>
      <w:r>
        <w:t xml:space="preserve">The production of phosphate fertilizer generates large amounts of phosphogpysum waste (CaSO</w:t>
      </w:r>
      <m:oMath>
        <m:sSub>
          <m:e>
            <m:r>
              <m:t>​</m:t>
            </m:r>
          </m:e>
          <m:sub>
            <m:r>
              <m:t>4</m:t>
            </m:r>
          </m:sub>
        </m:sSub>
        <m:r>
          <m:rPr>
            <m:sty m:val="p"/>
          </m:rPr>
          <m:t>⋅</m:t>
        </m:r>
      </m:oMath>
      <w:r>
        <w:t xml:space="preserve"> </w:t>
      </w:r>
      <w:r>
        <w:t xml:space="preserve">H</w:t>
      </w:r>
      <m:oMath>
        <m:sSub>
          <m:e>
            <m:r>
              <m:t>​</m:t>
            </m:r>
          </m:e>
          <m:sub>
            <m:r>
              <m:t>2</m:t>
            </m:r>
          </m:sub>
        </m:sSub>
      </m:oMath>
      <w:r>
        <w:t xml:space="preserve">O) that is typically stored on-site in large earthen stacks (gypstacks) capable of holding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and seasonal stressors (e.g., heavy precipitation events) have reduced the capacity of these facilities to maintain water on site. Numerous studies have documented the environmental and human health risks associated with these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The geology of central Florida is rich in phosphates that have supported a multi-billion dollar mining industry for fertilizer to support agricultural production</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 [see supplement for a history of the facility;</w:t>
      </w:r>
      <w:r>
        <w:t xml:space="preserve"> </w:t>
      </w:r>
      <w:hyperlink w:anchor="ref-Henderson04">
        <w:r>
          <w:rPr>
            <w:rStyle w:val="Hyperlink"/>
          </w:rPr>
          <w:t xml:space="preserve">Henderson</w:t>
        </w:r>
      </w:hyperlink>
      <w:r>
        <w:t xml:space="preserve"> </w:t>
      </w:r>
      <w:r>
        <w:t xml:space="preserve">(</w:t>
      </w:r>
      <w:hyperlink w:anchor="ref-Henderson04">
        <w:r>
          <w:rPr>
            <w:rStyle w:val="Hyperlink"/>
          </w:rPr>
          <w:t xml:space="preserve">2004</w:t>
        </w:r>
      </w:hyperlink>
      <w:r>
        <w:t xml:space="preserve">)</w:t>
      </w:r>
      <w:r>
        <w:t xml:space="preserve">]. Holding capacity of the ponds has decreased over time from seasonal rain events, tropical storms, and storage of dredging material from nearby Port Manatee.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In March 2021, leakages were detected from a tear in the plastic liner of the southern holding pond (NGS-S) at Piney Point. At that time, approximately 1.8 billion liters of mixed legacy phosphate mining wastewater and seawater from port dredging operations were being held in the failing gypstack. Piney Point historically produced Diammonium Phosphate ((NH</w:t>
      </w:r>
      <m:oMath>
        <m:sSub>
          <m:e>
            <m:r>
              <m:t>​</m:t>
            </m:r>
          </m:e>
          <m:sub>
            <m:r>
              <m:t>4</m:t>
            </m:r>
          </m:sub>
        </m:sSub>
      </m:oMath>
      <w:r>
        <w:t xml:space="preserve">)</w:t>
      </w:r>
      <m:oMath>
        <m:sSub>
          <m:e>
            <m:r>
              <m:t>​</m:t>
            </m:r>
          </m:e>
          <m:sub>
            <m:r>
              <m:t>2</m:t>
            </m:r>
          </m:sub>
        </m:sSub>
      </m:oMath>
      <w:r>
        <w:t xml:space="preserve">HPO</w:t>
      </w:r>
      <m:oMath>
        <m:sSub>
          <m:e>
            <m:r>
              <m:t>​</m:t>
            </m:r>
          </m:e>
          <m:sub>
            <m:r>
              <m:t>4</m:t>
            </m:r>
          </m:sub>
        </m:sSub>
      </m:oMath>
      <w:r>
        <w:t xml:space="preserve">) and the remnant stackwater has very high concentrations of nitrogen, in addition to phosphorus. Water quality parameters of NGS-S measured in 2019 showed total phosphorus (160 mg/L) and total nitrogen (230 mg/L) were approximately three orders of magnitude higher than typical concentrations in Tampa Bay. From March 30th to April 9th, approximately 814 million liters (215 million gallons) of stack water were released to lower Tampa Bay following an</w:t>
      </w:r>
      <w:r>
        <w:t xml:space="preserve"> </w:t>
      </w:r>
      <w:hyperlink r:id="rId40">
        <w:r>
          <w:rPr>
            <w:rStyle w:val="Hyperlink"/>
          </w:rPr>
          <w:t xml:space="preserve">emergency order</w:t>
        </w:r>
      </w:hyperlink>
      <w:r>
        <w:t xml:space="preserve"> </w:t>
      </w:r>
      <w:r>
        <w:t xml:space="preserve">authorized by the Florida Department of Environmental Protection (FDEP).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the six month period after the release of legacy phosphate mining wastewater from the Piney Point facility in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Numerous studies, as well as the successful nutrient management paradigm for Tampa Bay, have demonstrated nitrogen-limitation in Tampa Bay and the system is generally considered phosphorus enriched</w:t>
      </w:r>
      <w:r>
        <w:t xml:space="preserve"> </w:t>
      </w:r>
      <w:r>
        <w:t xml:space="preserve">(</w:t>
      </w:r>
      <w:hyperlink w:anchor="ref-Greening14">
        <w:r>
          <w:rPr>
            <w:rStyle w:val="Hyperlink"/>
          </w:rPr>
          <w:t xml:space="preserve">Greening et al., 2014</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Wang99">
        <w:r>
          <w:rPr>
            <w:rStyle w:val="Hyperlink"/>
          </w:rPr>
          <w:t xml:space="preserve">Wang et al., 1999</w:t>
        </w:r>
      </w:hyperlink>
      <w:r>
        <w:t xml:space="preserve">)</w:t>
      </w:r>
      <w:r>
        <w:t xml:space="preserve">. As such, we focus on nitrogen in our analyses as the identified limiting nutrient for Tampa Bay and its potential to create water quality conditions unfavorable for seagrass growth due to enhanced algal production. Our analysis evaluated datasets that are descriptive of the vulnerability of seagrasses to nutrient pollution though cascading negative effects of nitrogen, phytoplankton growth and persistence, and water clarity on seagrass growth and survival</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A timeline of events is provided, which is supported by the quantitative results from 2021 routine and response-based monitoring of conditions in and around Port Manatee, FL – the focal point of emergency releases from the Piney Point facility. The results from this paper provide an unprecedented chronology of short-term estuarine response to acute nutrient loadings from legacy mining facilities, where context would not have been possible without the long-term monitoring datasets available for the region.</w:t>
      </w:r>
    </w:p>
    <w:bookmarkEnd w:id="41"/>
    <w:bookmarkStart w:id="54" w:name="methods"/>
    <w:p>
      <w:pPr>
        <w:pStyle w:val="Heading1"/>
      </w:pPr>
      <w:r>
        <w:t xml:space="preserve">Methods</w:t>
      </w:r>
    </w:p>
    <w:bookmarkStart w:id="43" w:name="simulation-modeling"/>
    <w:p>
      <w:pPr>
        <w:pStyle w:val="Heading2"/>
      </w:pPr>
      <w:r>
        <w:t xml:space="preserve">Simulation modeling</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w:t>
      </w:r>
      <w:hyperlink r:id="rId42">
        <w:r>
          <w:rPr>
            <w:rStyle w:val="Hyperlink"/>
          </w:rPr>
          <w:t xml:space="preserve">http://ocgweb.marine.usf.edu/~liu/Tracer/</w:t>
        </w:r>
      </w:hyperlink>
      <w:r>
        <w:t xml:space="preserve">) served as the principal guidance for coordinating the data collection during the event. Preliminary model results were reported in</w:t>
      </w:r>
      <w:r>
        <w:t xml:space="preserve"> </w:t>
      </w:r>
      <w:hyperlink w:anchor="ref-Liu21">
        <w:r>
          <w:rPr>
            <w:rStyle w:val="Hyperlink"/>
          </w:rPr>
          <w:t xml:space="preserve">Liu et al.</w:t>
        </w:r>
      </w:hyperlink>
      <w:r>
        <w:t xml:space="preserve"> </w:t>
      </w:r>
      <w:r>
        <w:t xml:space="preserve">(</w:t>
      </w:r>
      <w:hyperlink w:anchor="ref-Liu21">
        <w:r>
          <w:rPr>
            <w:rStyle w:val="Hyperlink"/>
          </w:rPr>
          <w:t xml:space="preserve">2021</w:t>
        </w:r>
      </w:hyperlink>
      <w:r>
        <w:t xml:space="preserve">)</w:t>
      </w:r>
      <w:r>
        <w:t xml:space="preserve">.</w:t>
      </w:r>
    </w:p>
    <w:bookmarkEnd w:id="43"/>
    <w:bookmarkStart w:id="49" w:name="X6cb48ba5b9b5b982f6ba48c046d469fe28fe141"/>
    <w:p>
      <w:pPr>
        <w:pStyle w:val="Heading2"/>
      </w:pPr>
      <w:r>
        <w:t xml:space="preserve">Monitoring response to the emergency release</w:t>
      </w:r>
    </w:p>
    <w:p>
      <w:pPr>
        <w:pStyle w:val="FirstParagraph"/>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(FWRI)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w:t>
      </w:r>
    </w:p>
    <w:p>
      <w:pPr>
        <w:pStyle w:val="BodyText"/>
      </w:pPr>
      <w:r>
        <w:t xml:space="preserve">Water quality parameters included discrete, laboratory-processed and</w:t>
      </w:r>
      <w:r>
        <w:t xml:space="preserve"> </w:t>
      </w:r>
      <w:r>
        <w:rPr>
          <w:iCs/>
          <w:i/>
        </w:rPr>
        <w:t xml:space="preserve">in situ</w:t>
      </w:r>
      <w:r>
        <w:t xml:space="preserve"> </w:t>
      </w:r>
      <w:r>
        <w:t xml:space="preserve">samples for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hereafter referred to as ammonia),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chlorophyll-a (</w:t>
      </w:r>
      <m:oMath>
        <m:r>
          <m:t>μ</m:t>
        </m:r>
      </m:oMath>
      <w:r>
        <w:t xml:space="preserve">g/L), pH, salinity (ppt), temperature (</w:t>
      </w:r>
      <m:oMath>
        <m:sSup>
          <m:e>
            <m:r>
              <m:t>​</m:t>
            </m:r>
          </m:e>
          <m:sup>
            <m:r>
              <m:rPr>
                <m:sty m:val="p"/>
              </m:rPr>
              <m:t>∘</m:t>
            </m:r>
          </m:sup>
        </m:sSup>
      </m:oMath>
      <w:r>
        <w:t xml:space="preserve">C), and dissolved oxygen saturation (%). Most samples were surface collections by boat, with sample frequency approximately biweekly for locations around Piney Point, although effort varied by monitoring group and was more consistent during the first three months after the release. Established laboratory and field sample protocols for all survey methods were based on an</w:t>
      </w:r>
      <w:r>
        <w:t xml:space="preserve"> </w:t>
      </w:r>
      <w:hyperlink r:id="rId44">
        <w:r>
          <w:rPr>
            <w:rStyle w:val="Hyperlink"/>
          </w:rPr>
          <w:t xml:space="preserve">Interagency Monitoring Project Plan</w:t>
        </w:r>
      </w:hyperlink>
      <w:r>
        <w:t xml:space="preserve"> </w:t>
      </w:r>
      <w:r>
        <w:t xml:space="preserve">maintained by the TBEP and those of the inter-agency partners. Data quality objectives followed guidelines outlined in the USEPA-approved TBEP Data Quality Management Plan</w:t>
      </w:r>
      <w:r>
        <w:t xml:space="preserve"> </w:t>
      </w:r>
      <w:r>
        <w:t xml:space="preserve">(</w:t>
      </w:r>
      <w:hyperlink w:anchor="ref-tbep1620">
        <w:r>
          <w:rPr>
            <w:rStyle w:val="Hyperlink"/>
          </w:rPr>
          <w:t xml:space="preserve">Sherwood et al., 2020</w:t>
        </w:r>
      </w:hyperlink>
      <w:r>
        <w:t xml:space="preserve">)</w:t>
      </w:r>
      <w:r>
        <w:t xml:space="preserve">. Many of the local partners also participate in the Southwest Florida</w:t>
      </w:r>
      <w:r>
        <w:t xml:space="preserve"> </w:t>
      </w:r>
      <w:hyperlink r:id="rId45">
        <w:r>
          <w:rPr>
            <w:rStyle w:val="Hyperlink"/>
          </w:rPr>
          <w:t xml:space="preserve">Regional Ambient Monitoring Program</w:t>
        </w:r>
      </w:hyperlink>
      <w:r>
        <w:t xml:space="preserve"> </w:t>
      </w:r>
      <w:r>
        <w:t xml:space="preserve">(RAMP) that ensures similar standards and protocols are followed in the collection and processing of monitoring data, including routine cross-reference of split samples between laboratories to check precision of measured values. Samples requiring laboratory analysis (e.g., nutrient assays) were obtained primarily from bottle collection at the surface, whereas in situ measurements were available for many parameters (e.g., dissolved oxygen, Secchi depth, etc.). In situ measurements were collected using common monitoring equipment, such as YSI sondes or Seabird CTD casts, depending on monitoring agency. Laboratory methods used to process samples were based on accepted procedures promoted through the Southwest Florida RAMP.</w:t>
      </w:r>
    </w:p>
    <w:p>
      <w:pPr>
        <w:pStyle w:val="BodyText"/>
      </w:pPr>
      <w:r>
        <w:t xml:space="preserve">Phytoplankton samples included a mix of quantitative (cells/L) and qualitative (presence/absence) samples for major taxa at similar frequency and spatial distribution as the water quality samples. Harmful Algal Bloom (HAB) data for</w:t>
      </w:r>
      <w:r>
        <w:t xml:space="preserve"> </w:t>
      </w:r>
      <w:r>
        <w:rPr>
          <w:iCs/>
          <w:i/>
        </w:rPr>
        <w:t xml:space="preserve">Karenia brevis</w:t>
      </w:r>
      <w:r>
        <w:t xml:space="preserve"> </w:t>
      </w:r>
      <w:r>
        <w:t xml:space="preserve">were obtained from event-based monitoring samples from the</w:t>
      </w:r>
      <w:r>
        <w:t xml:space="preserve"> </w:t>
      </w:r>
      <w:hyperlink r:id="rId46">
        <w:r>
          <w:rPr>
            <w:rStyle w:val="Hyperlink"/>
          </w:rPr>
          <w:t xml:space="preserve">FWC-FWRI HAB Monitoring Database</w:t>
        </w:r>
      </w:hyperlink>
      <w:r>
        <w:t xml:space="preserve">. Bloom sizes for HAB species were described qualitatively as low/medium/high concentrations based on</w:t>
      </w:r>
      <w:r>
        <w:t xml:space="preserve"> </w:t>
      </w:r>
      <w:hyperlink r:id="rId47">
        <w:r>
          <w:rPr>
            <w:rStyle w:val="Hyperlink"/>
          </w:rPr>
          <w:t xml:space="preserve">FWC breakpoints</w:t>
        </w:r>
      </w:hyperlink>
      <w:r>
        <w:t xml:space="preserve"> </w:t>
      </w:r>
      <w:r>
        <w:t xml:space="preserve">at 10,000/100,000/1,000,000 cells/L. Fish kill reports were obtained from the FWC</w:t>
      </w:r>
      <w:r>
        <w:t xml:space="preserve"> </w:t>
      </w:r>
      <w:hyperlink r:id="rId48">
        <w:r>
          <w:rPr>
            <w:rStyle w:val="Hyperlink"/>
          </w:rPr>
          <w:t xml:space="preserve">online database</w:t>
        </w:r>
      </w:hyperlink>
      <w:r>
        <w:t xml:space="preserve">. Seagrass and macroalgae sampling occurred approximately biweekly at 38 transects using a modified rapid assessment design, where species were identified and enumerated using Braun-Blanquet abundances in a 0.25 m</w:t>
      </w:r>
      <m:oMath>
        <m:sSup>
          <m:e>
            <m:r>
              <m:t>​</m:t>
            </m:r>
          </m:e>
          <m:sup>
            <m:r>
              <m:t>2</m:t>
            </m:r>
          </m:sup>
        </m:sSup>
      </m:oMath>
      <w:r>
        <w:t xml:space="preserve"> </w:t>
      </w:r>
      <w:r>
        <w:t xml:space="preserve">quadrat at 10m distances along each 50m transect (see supplement). Finally, precipitation and wind data were from Albert Whitted Airfield at St. Petersburg, Florida and inflow estimates to Tampa Bay were based on summed hydrologic loads of major tributaries from US Geological Survey gaged sites</w:t>
      </w:r>
      <w:r>
        <w:t xml:space="preserve"> </w:t>
      </w:r>
      <w:r>
        <w:t xml:space="preserve">(similar to</w:t>
      </w:r>
      <w:r>
        <w:t xml:space="preserve"> </w:t>
      </w:r>
      <w:hyperlink w:anchor="ref-Janicki12">
        <w:r>
          <w:rPr>
            <w:rStyle w:val="Hyperlink"/>
          </w:rPr>
          <w:t xml:space="preserve">Janicki Environmental, Inc., 2012</w:t>
        </w:r>
      </w:hyperlink>
      <w:r>
        <w:t xml:space="preserve">)</w:t>
      </w:r>
      <w:r>
        <w:t xml:space="preserve">. Additional details of the sampling methods and data sources are provided in supplement.</w:t>
      </w:r>
    </w:p>
    <w:bookmarkEnd w:id="49"/>
    <w:bookmarkStart w:id="53"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50">
        <w:r>
          <w:rPr>
            <w:rStyle w:val="Hyperlink"/>
          </w:rPr>
          <w:t xml:space="preserve">https://wateratlas.usf.edu/</w:t>
        </w:r>
      </w:hyperlink>
      <w:r>
        <w:t xml:space="preserve">, Hillsborough County collected monthly, Manatee County collected quarterly)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annual water quality targets).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51">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 as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conducted only on total nitrogen (TN), chlorophyll-a (chl-a), and Secchi disk depth as a general analysis of potential patterns in eutrophication in nitrogen-limited systems.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Only the water quality data from FDEP were used for statistical analysis given the consistency of sample location and collection dates. Secchi observations that were visually identified on the bottom (71 of 431 observations in the FDEP data) were removed from analysis. Observations for other parameters that were below laboratory standards of detection were evaluated with methods described below.</w:t>
      </w:r>
    </w:p>
    <w:p>
      <w:pPr>
        <w:pStyle w:val="BodyText"/>
      </w:pPr>
      <w:r>
        <w:t xml:space="preserve">Differences in observations between months for April to September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These tests were used to statistically characterize the temporal progression of changes in the bay following release from Piney Point, e.g., were July conditions significantly different from April.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Frequency occurrence estimates were used to evaluate macroalgae and seagrasses as a standard metric used in previous analyses in Tampa Bay</w:t>
      </w:r>
      <w:r>
        <w:t xml:space="preserve"> </w:t>
      </w:r>
      <w:r>
        <w:t xml:space="preserve">(</w:t>
      </w:r>
      <w:hyperlink w:anchor="ref-Johansson16">
        <w:r>
          <w:rPr>
            <w:rStyle w:val="Hyperlink"/>
          </w:rPr>
          <w:t xml:space="preserve">Johansson, 2016</w:t>
        </w:r>
      </w:hyperlink>
      <w:r>
        <w:t xml:space="preserve">;</w:t>
      </w:r>
      <w:r>
        <w:t xml:space="preserve"> </w:t>
      </w:r>
      <w:hyperlink w:anchor="ref-Sherwood17">
        <w:r>
          <w:rPr>
            <w:rStyle w:val="Hyperlink"/>
          </w:rPr>
          <w:t xml:space="preserve">Sherwood et al., 2017</w:t>
        </w:r>
      </w:hyperlink>
      <w:r>
        <w:t xml:space="preserve">)</w:t>
      </w:r>
      <w:r>
        <w:t xml:space="preserve">. Methods used to accommodate measured concentrations of water quality variables that were below detection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2021</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2021b</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 All datasets used in this study are available from an open access data archive hosted on the Knowledge Network for Biocomplexity</w:t>
      </w:r>
      <w:r>
        <w:t xml:space="preserve"> </w:t>
      </w:r>
      <w:r>
        <w:t xml:space="preserve">(</w:t>
      </w:r>
      <w:hyperlink w:anchor="ref-Beck21d">
        <w:r>
          <w:rPr>
            <w:rStyle w:val="Hyperlink"/>
          </w:rPr>
          <w:t xml:space="preserve">Beck, 2021</w:t>
        </w:r>
      </w:hyperlink>
      <w:r>
        <w:t xml:space="preserve">)</w:t>
      </w:r>
      <w:r>
        <w:t xml:space="preserve">. Materials for reproducing the analyses, figures, tables, and other content in this paper are provided in a</w:t>
      </w:r>
      <w:r>
        <w:t xml:space="preserve"> </w:t>
      </w:r>
      <w:hyperlink r:id="rId52">
        <w:r>
          <w:rPr>
            <w:rStyle w:val="Hyperlink"/>
          </w:rPr>
          <w:t xml:space="preserve">GitHub repository</w:t>
        </w:r>
      </w:hyperlink>
      <w:r>
        <w:t xml:space="preserve">. Finally, the Piney Point Environmental Monitoring Dashboard can be used to view all data included in this paper through an interactive, online application</w:t>
      </w:r>
      <w:r>
        <w:t xml:space="preserve"> </w:t>
      </w:r>
      <w:r>
        <w:t xml:space="preserve">(</w:t>
      </w:r>
      <w:hyperlink w:anchor="ref-Beck21c">
        <w:r>
          <w:rPr>
            <w:rStyle w:val="Hyperlink"/>
          </w:rPr>
          <w:t xml:space="preserve">Beck et al., 2021a</w:t>
        </w:r>
      </w:hyperlink>
      <w:r>
        <w:t xml:space="preserve">)</w:t>
      </w:r>
      <w:r>
        <w:t xml:space="preserve">. Links and details are provided in supplement.</w:t>
      </w:r>
    </w:p>
    <w:bookmarkEnd w:id="53"/>
    <w:bookmarkEnd w:id="54"/>
    <w:bookmarkStart w:id="59" w:name="results"/>
    <w:p>
      <w:pPr>
        <w:pStyle w:val="Heading1"/>
      </w:pPr>
      <w:r>
        <w:t xml:space="preserve">Results</w:t>
      </w:r>
    </w:p>
    <w:bookmarkStart w:id="55"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that were generally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w:t>
      </w:r>
    </w:p>
    <w:p>
      <w:pPr>
        <w:pStyle w:val="BodyText"/>
      </w:pPr>
      <w:r>
        <w:t xml:space="preserve">Samples collected in the bay between April through September 2021 indicated that water quality conditions were outside of normal values expected for each month. A total of 7831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6% and 22%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36% of observations in Areas 2 and 3. Notable differences were also observed for dissolved oxygen (e.g., 53% were above in Area 1, 44% in Area 2). Physical parameters (salinity, temperature) and inorganic nitrogen (ammonia, nitrate/nitrite) were more often in normal ranges, although initial time series showed much higher concentrations for ammonia in April near Area 1. Ammonia concentrations near the point of discharge were observed in excess of 10 mg/L in April, about three orders of magnitude above baseline (Figures S2, S3),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2</w:t>
      </w:r>
      <w:r>
        <w:t xml:space="preserve">).</w:t>
      </w:r>
    </w:p>
    <w:p>
      <w:pPr>
        <w:pStyle w:val="BodyText"/>
      </w:pPr>
      <w:r>
        <w:t xml:space="preserve">Total nitrogen, chl-a, and Secchi depth followed temporal progressions in 2021 that were distinct from long-term seasonal trends estimated from historical data (Figure</w:t>
      </w:r>
      <w:r>
        <w:t xml:space="preserve"> </w:t>
      </w:r>
      <w:r>
        <w:t xml:space="preserve">3</w:t>
      </w:r>
      <w:r>
        <w:t xml:space="preserve">). For Area 1, TN and chl-a concentrations were frequently above normal ranges during April. Chlorophyll-a concentrations were observed in excess of 50</w:t>
      </w:r>
      <w:r>
        <w:t xml:space="preserve"> </w:t>
      </w:r>
      <m:oMath>
        <m:r>
          <m:t>μ</m:t>
        </m:r>
      </m:oMath>
      <w:r>
        <w:t xml:space="preserve">g/L, altough median concentrations for each week in April were less than 10</w:t>
      </w:r>
      <w:r>
        <w:t xml:space="preserve"> </w:t>
      </w:r>
      <m:oMath>
        <m:r>
          <m:t>μ</m:t>
        </m:r>
      </m:oMath>
      <w:r>
        <w:t xml:space="preserve">g/L. The initial chlorophyll peak was associated with a localized phytoplankton bloom generally dominated by diatoms. The initial diatom bloom did not persist past April. Chlorophyll concentrations decreased slightly until June and July when values increased again above the seasonal expectation, coincident with an increase in</w:t>
      </w:r>
      <w:r>
        <w:t xml:space="preserve"> </w:t>
      </w:r>
      <w:r>
        <w:rPr>
          <w:iCs/>
          <w:i/>
        </w:rPr>
        <w:t xml:space="preserve">K. brevis</w:t>
      </w:r>
      <w:r>
        <w:t xml:space="preserve"> </w:t>
      </w:r>
      <w:r>
        <w:t xml:space="preserve">concentrations to bloom levels. Many Secchi observations in Area 1 were lower than normal in April and July. Observations in Areas 2 and 3 were more often within the normal seasonal range, with some exceptions for TN and chl-a in Area 3 in April, May, and July.</w:t>
      </w:r>
    </w:p>
    <w:p>
      <w:pPr>
        <w:pStyle w:val="BodyText"/>
      </w:pPr>
      <w:r>
        <w:t xml:space="preserve">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3</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Areas 1 and 3 and for TN and chl-a for Area 2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55"/>
    <w:bookmarkStart w:id="57"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macroalgae and filamentous cyanobacteria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genus</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 also see</w:t>
      </w:r>
      <w:r>
        <w:t xml:space="preserve"> </w:t>
      </w:r>
      <w:hyperlink r:id="rId56">
        <w:r>
          <w:rPr>
            <w:rStyle w:val="Hyperlink"/>
          </w:rPr>
          <w:t xml:space="preserve">https://shiny.tbep.org/seagrasstransect-dash</w:t>
        </w:r>
      </w:hyperlink>
      <w:r>
        <w:t xml:space="preserve">)</w:t>
      </w:r>
      <w:r>
        <w:t xml:space="preserve">, with turtle grass being the dominant species in more euhaline waters closer to the Gulf. There is no historical macroalgae record for Tampa Bay that is comparable to the spatial and temporal resolution of the 2021 samples.</w:t>
      </w:r>
    </w:p>
    <w:p>
      <w:pPr>
        <w:pStyle w:val="BodyText"/>
      </w:pPr>
      <w:r>
        <w:t xml:space="preserve">A typical temporal pattern for macroalgae and seagrass observed at many of the transects is shown in Figure</w:t>
      </w:r>
      <w:r>
        <w:t xml:space="preserve"> </w:t>
      </w:r>
      <w:r>
        <w:t xml:space="preserve">4</w:t>
      </w:r>
      <w:r>
        <w:t xml:space="preserve">, using transect S3T6 near Port Manatee as an example. Macroalgal abundances changed over the course of sampling similar to the remainder of transects sampled during the study. Red macroalgae were present in high abundances from April to May. Filamentous cyanobacteria (</w:t>
      </w:r>
      <w:r>
        <w:rPr>
          <w:iCs/>
          <w:i/>
        </w:rPr>
        <w:t xml:space="preserve">Dapis</w:t>
      </w:r>
      <w:r>
        <w:t xml:space="preserve"> </w:t>
      </w:r>
      <w:r>
        <w:t xml:space="preserve">spp.) mats were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5</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Notable blooms of the filamentous cyanobacteria (</w:t>
      </w:r>
      <w:r>
        <w:rPr>
          <w:iCs/>
          <w:i/>
        </w:rPr>
        <w:t xml:space="preserve">Dapis</w:t>
      </w:r>
      <w:r>
        <w:t xml:space="preserve"> </w:t>
      </w:r>
      <w:r>
        <w:t xml:space="preserve">spp.) were observed in Anna Maria Sound (Area 3) and near Port Manatee (Area 1) (Figure</w:t>
      </w:r>
      <w:r>
        <w:t xml:space="preserve"> </w:t>
      </w:r>
      <w:r>
        <w:t xml:space="preserve">1</w:t>
      </w:r>
      <w:r>
        <w:t xml:space="preserve">), typically observed covering benthic and seagrass habitats, in addition to large floating mats on the surface. Green macroalgae had the second lowest frequency occurrence, although it increased slightly by the end of the study period (9% in September in Area 1, 31% in October in Area 3).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over time only for macroalgae (Tables S1, S2). Tests using Braun Blanquet cover estimates confirmed the results from the frequency occurrence estimates (Tables S3, S4).</w:t>
      </w:r>
    </w:p>
    <w:bookmarkEnd w:id="57"/>
    <w:bookmarkStart w:id="58" w:name="red-tide-impacts"/>
    <w:p>
      <w:pPr>
        <w:pStyle w:val="Heading2"/>
      </w:pPr>
      <w:r>
        <w:t xml:space="preserve">Red tide impacts</w:t>
      </w:r>
    </w:p>
    <w:p>
      <w:pPr>
        <w:pStyle w:val="FirstParagraph"/>
      </w:pPr>
      <w:r>
        <w:t xml:space="preserve">On April 20th, the HAB species</w:t>
      </w:r>
      <w:r>
        <w:t xml:space="preserve"> </w:t>
      </w:r>
      <w:r>
        <w:rPr>
          <w:iCs/>
          <w:i/>
        </w:rPr>
        <w:t xml:space="preserve">Karenia brevis</w:t>
      </w:r>
      <w:r>
        <w:t xml:space="preserve"> </w:t>
      </w:r>
      <w:r>
        <w:t xml:space="preserve">was observed near Anna Maria Sound at the southern edge of the mouth of Tampa Bay. This first Tampa Bay influx likely originated from an ongoing coastal bloom in the Gulf of Mexico, as is common when red tide is observed in the bay</w:t>
      </w:r>
      <w:r>
        <w:t xml:space="preserve"> </w:t>
      </w:r>
      <w:r>
        <w:t xml:space="preserve">(</w:t>
      </w:r>
      <w:hyperlink w:anchor="ref-Flaherty11">
        <w:r>
          <w:rPr>
            <w:rStyle w:val="Hyperlink"/>
          </w:rPr>
          <w:t xml:space="preserve">Flaherty and Landsberg, 2011</w:t>
        </w:r>
      </w:hyperlink>
      <w:r>
        <w:t xml:space="preserve">;</w:t>
      </w:r>
      <w:r>
        <w:t xml:space="preserve"> </w:t>
      </w:r>
      <w:hyperlink w:anchor="ref-Steidinger72">
        <w:r>
          <w:rPr>
            <w:rStyle w:val="Hyperlink"/>
          </w:rPr>
          <w:t xml:space="preserve">Steidinger and Ingle, 1972</w:t>
        </w:r>
      </w:hyperlink>
      <w:r>
        <w:t xml:space="preserve">)</w:t>
      </w:r>
      <w:r>
        <w:t xml:space="preserve">. By May 23, bloom concentrations of</w:t>
      </w:r>
      <w:r>
        <w:t xml:space="preserve"> </w:t>
      </w:r>
      <w:r>
        <w:rPr>
          <w:iCs/>
          <w:i/>
        </w:rPr>
        <w:t xml:space="preserve">K. brevis</w:t>
      </w:r>
      <w:r>
        <w:t xml:space="preserve"> </w:t>
      </w:r>
      <w:r>
        <w:t xml:space="preserve">were observed in lower Tampa Bay (lower/middle bay boundary Figure</w:t>
      </w:r>
      <w:r>
        <w:t xml:space="preserve"> </w:t>
      </w:r>
      <w:r>
        <w:t xml:space="preserve">1</w:t>
      </w:r>
      <w:r>
        <w:t xml:space="preserve">b), with concentrations peaking (10</w:t>
      </w:r>
      <m:oMath>
        <m:sSup>
          <m:e>
            <m:r>
              <m:t>​</m:t>
            </m:r>
          </m:e>
          <m:sup>
            <m:r>
              <m:t>6</m:t>
            </m:r>
          </m:sup>
        </m:sSup>
      </m:oMath>
      <w:r>
        <w:t xml:space="preserve"> </w:t>
      </w:r>
      <w:r>
        <w:t xml:space="preserve">to 10</w:t>
      </w:r>
      <m:oMath>
        <m:sSup>
          <m:e>
            <m:r>
              <m:t>​</m:t>
            </m:r>
          </m:e>
          <m:sup>
            <m:r>
              <m:t>7</m:t>
            </m:r>
          </m:sup>
        </m:sSup>
      </m:oMath>
      <w:r>
        <w:t xml:space="preserve"> </w:t>
      </w:r>
      <w:r>
        <w:t xml:space="preserve">cells/L) by the week of July 4th in middle Tampa Bay, after which concentrations declined (Figure</w:t>
      </w:r>
      <w:r>
        <w:t xml:space="preserve"> </w:t>
      </w:r>
      <w:r>
        <w:t xml:space="preserve">6</w:t>
      </w:r>
      <w:r>
        <w:t xml:space="preserve">b).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6</w:t>
      </w:r>
      <w:r>
        <w:t xml:space="preserve">a) shows cell concentrations sampled in Tampa Bay between April and September, with only a few years having cell concentrations greater than 10</w:t>
      </w:r>
      <m:oMath>
        <m:sSup>
          <m:e>
            <m:r>
              <m:t>​</m:t>
            </m:r>
          </m:e>
          <m:sup>
            <m:r>
              <m:t>5</m:t>
            </m:r>
          </m:sup>
        </m:sSup>
      </m:oMath>
      <w:r>
        <w:t xml:space="preserve"> </w:t>
      </w:r>
      <w:r>
        <w:t xml:space="preserve">cells/L, notably 1963, 1971, 2005, 2018, and 2021. Median cell concentrations for most years were well below 1,000 cells/L. The two highest concentrations in the long-term record were observed in 1971 (20 million cells/L) and 2021 (17.6 million cells/L), both being over an order of magnitude above the high category. Cumulative rainfall and associated inflow from the main rivers entering Tampa Bay in 2021 were below historical values (2006 - 2020) in the months preceding the highest bloom concentrations (i.e., January to June, Figure</w:t>
      </w:r>
      <w:r>
        <w:t xml:space="preserve"> </w:t>
      </w:r>
      <w:r>
        <w:t xml:space="preserve">6</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(Figure S2f, S3f), in addition to the elevated nutrient concentrations from the Piney Point discharge.</w:t>
      </w:r>
    </w:p>
    <w:p>
      <w:pPr>
        <w:pStyle w:val="BodyText"/>
      </w:pPr>
      <w:r>
        <w:t xml:space="preserve">Fish kill reports attributed to</w:t>
      </w:r>
      <w:r>
        <w:t xml:space="preserve"> </w:t>
      </w:r>
      <m:oMath>
        <m:r>
          <m:t>K</m:t>
        </m:r>
        <m:r>
          <m:rPr>
            <m:sty m:val="p"/>
          </m:rPr>
          <m:t>.</m:t>
        </m:r>
        <m:r>
          <m:t>b</m:t>
        </m:r>
        <m:r>
          <m:t>r</m:t>
        </m:r>
        <m:r>
          <m:t>e</m:t>
        </m:r>
        <m:r>
          <m:t>v</m:t>
        </m:r>
        <m:r>
          <m:t>i</m:t>
        </m:r>
        <m:r>
          <m:t>s</m:t>
        </m:r>
      </m:oMath>
      <w:r>
        <w:t xml:space="preserve"> </w:t>
      </w:r>
      <w:r>
        <w:t xml:space="preserve">at the cities of Tampa and Saint Petersburg, FL closely tracked cell concentrations during June and July 2021 (Figure</w:t>
      </w:r>
      <w:r>
        <w:t xml:space="preserve"> </w:t>
      </w:r>
      <w:r>
        <w:t xml:space="preserve">6</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6</w:t>
      </w:r>
      <w:r>
        <w:t xml:space="preserve">b). Notably, all of the fish kill reports occurred within a 1.5 month period when</w:t>
      </w:r>
      <w:r>
        <w:t xml:space="preserve"> </w:t>
      </w:r>
      <w:r>
        <w:rPr>
          <w:iCs/>
          <w:i/>
        </w:rPr>
        <w:t xml:space="preserve">K. brevis</w:t>
      </w:r>
      <w:r>
        <w:t xml:space="preserve"> </w:t>
      </w:r>
      <w:r>
        <w:t xml:space="preserve">cell concentrations were consistently above the medium threshold (10</w:t>
      </w:r>
      <m:oMath>
        <m:sSup>
          <m:e>
            <m:r>
              <m:t>​</m:t>
            </m:r>
          </m:e>
          <m:sup>
            <m:r>
              <m:t>4</m:t>
            </m:r>
          </m:sup>
        </m:sSup>
      </m:oMath>
      <w:r>
        <w:t xml:space="preserve"> </w:t>
      </w:r>
      <w:r>
        <w:t xml:space="preserve">cells/L). The center of Tropical Storm Elsa (Figure</w:t>
      </w:r>
      <w:r>
        <w:t xml:space="preserve"> </w:t>
      </w:r>
      <w:r>
        <w:t xml:space="preserve">6</w:t>
      </w:r>
      <w:r>
        <w:t xml:space="preserve">f, pre-, post-storm wind roses) also passed through the bay area on July 5th, causing a shift in winds that likely disturbed the water column and altered the spatial distribution of</w:t>
      </w:r>
      <w:r>
        <w:t xml:space="preserve"> </w:t>
      </w:r>
      <w:r>
        <w:rPr>
          <w:iCs/>
          <w:i/>
        </w:rPr>
        <w:t xml:space="preserve">K. brevis</w:t>
      </w:r>
      <w:r>
        <w:t xml:space="preserve"> </w:t>
      </w:r>
      <w:r>
        <w:t xml:space="preserve">in the bay. Strong southeasterly winds also likely moved dead fish closer to heavily populated areas of Tampa Bay, specifically near St. Petersburg and Tampa, contributing to an increase in fish kill reports. It is important to note that high cell concentrations (&gt;10</w:t>
      </w:r>
      <m:oMath>
        <m:sSup>
          <m:e>
            <m:r>
              <m:t>​</m:t>
            </m:r>
          </m:e>
          <m:sup>
            <m:r>
              <m:t>6</m:t>
            </m:r>
          </m:sup>
        </m:sSup>
      </m:oMath>
      <w:r>
        <w:t xml:space="preserve"> </w:t>
      </w:r>
      <w:r>
        <w:t xml:space="preserve">cells/L) were observed in middle Tampa Bay (Figure</w:t>
      </w:r>
      <w:r>
        <w:t xml:space="preserve"> </w:t>
      </w:r>
      <w:r>
        <w:t xml:space="preserve">6</w:t>
      </w:r>
      <w:r>
        <w:t xml:space="preserve">b) and fish kills were reported both before and after storm passage (Figure</w:t>
      </w:r>
      <w:r>
        <w:t xml:space="preserve"> </w:t>
      </w:r>
      <w:r>
        <w:t xml:space="preserve">6</w:t>
      </w:r>
      <w:r>
        <w:t xml:space="preserve">e). By August, cleanup efforts removed over 1600 metric tons of dead fish near public and private shoreline areas (K. Hammer Levy, Pinellas County, pers. comm. Aug. 2021).</w:t>
      </w:r>
    </w:p>
    <w:bookmarkEnd w:id="58"/>
    <w:bookmarkEnd w:id="59"/>
    <w:bookmarkStart w:id="65" w:name="discussion"/>
    <w:p>
      <w:pPr>
        <w:pStyle w:val="Heading1"/>
      </w:pPr>
      <w:r>
        <w:t xml:space="preserve">Discussion</w:t>
      </w:r>
    </w:p>
    <w:p>
      <w:pPr>
        <w:pStyle w:val="FirstParagraph"/>
      </w:pPr>
      <w:r>
        <w:t xml:space="preserve">The observed conditions in Tampa Bay in 2021 following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(Figure</w:t>
      </w:r>
      <w:r>
        <w:t xml:space="preserve"> </w:t>
      </w:r>
      <w:r>
        <w:t xml:space="preserve">7</w:t>
      </w:r>
      <w:r>
        <w:t xml:space="preserve">) included 1) a large diatom bloom in April in the vicinity of the release at Port Manatee, 2) high abundance of filamentous cyanobacteria in Anna Maria Sound and near Port Manatee, 3) medium to high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2</w:t>
      </w:r>
      <w:r>
        <w:t xml:space="preserve">, Table</w:t>
      </w:r>
      <w:r>
        <w:t xml:space="preserve"> </w:t>
      </w:r>
      <w:r>
        <w:t xml:space="preserve">2</w:t>
      </w:r>
      <w:r>
        <w:t xml:space="preserve">). The Piney Point event also represented an anomalous volume and load of labile nitrogen released directly into lower Tampa Bay. Spill events</w:t>
      </w:r>
      <w:r>
        <w:t xml:space="preserve"> </w:t>
      </w:r>
      <w:hyperlink r:id="rId60">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61">
        <w:r>
          <w:rPr>
            <w:rStyle w:val="Hyperlink"/>
          </w:rPr>
          <w:t xml:space="preserve">TBEP 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62">
        <w:r>
          <w:rPr>
            <w:rStyle w:val="Hyperlink"/>
          </w:rPr>
          <w:t xml:space="preserve">https://tbep-tech.github.io/load-estimates/</w:t>
        </w:r>
      </w:hyperlink>
      <w:r>
        <w:t xml:space="preserve">).</w:t>
      </w:r>
    </w:p>
    <w:bookmarkStart w:id="63" w:name="potential-nutrient-cycling"/>
    <w:p>
      <w:pPr>
        <w:pStyle w:val="Heading2"/>
      </w:pPr>
      <w:r>
        <w:t xml:space="preserve">Potential nutrient cycling</w:t>
      </w:r>
    </w:p>
    <w:p>
      <w:pPr>
        <w:pStyle w:val="FirstParagraph"/>
      </w:pPr>
      <w:r>
        <w:t xml:space="preserve">The events of 2021 can be considered together to develop a narrative of the temporal shift of nutrient pools between ecosystem components of the bay from April through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The initial peak in water quality parameters suggested a rapid response of the phytoplankton community as an increase in diatoms (e.g., centric species, such as</w:t>
      </w:r>
      <w:r>
        <w:t xml:space="preserve"> </w:t>
      </w:r>
      <w:r>
        <w:rPr>
          <w:iCs/>
          <w:i/>
        </w:rPr>
        <w:t xml:space="preserve">Skeletonema</w:t>
      </w:r>
      <w:r>
        <w:t xml:space="preserve"> </w:t>
      </w:r>
      <w:r>
        <w:t xml:space="preserve">sp., and also</w:t>
      </w:r>
      <w:r>
        <w:t xml:space="preserve"> </w:t>
      </w:r>
      <w:r>
        <w:rPr>
          <w:iCs/>
          <w:i/>
        </w:rPr>
        <w:t xml:space="preserve">Asterionellopsis</w:t>
      </w:r>
      <w:r>
        <w:t xml:space="preserve"> </w:t>
      </w:r>
      <w:r>
        <w:t xml:space="preserve">sp., Figure</w:t>
      </w:r>
      <w:r>
        <w:t xml:space="preserve"> </w:t>
      </w:r>
      <w:r>
        <w:t xml:space="preserve">8</w:t>
      </w:r>
      <w:r>
        <w:t xml:space="preserve">c) that can readily utilize inorganic forms of nitrogen that were present in the initial discharge</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These results were evidenced by taxonomic enumeration of phytoplankton samples collected near Port Manatee. Water quality indicators improved slightly following the decrease in diatoms in late April, as noted by relatively lower concentrations of TN and chl-a as the bloom dispersed. However, filamentous cyanobacteria biomass increased after the initial diatom bloom and peaked in June (Figure</w:t>
      </w:r>
      <w:r>
        <w:t xml:space="preserve"> </w:t>
      </w:r>
      <w:r>
        <w:t xml:space="preserve">8</w:t>
      </w:r>
      <w:r>
        <w:t xml:space="preserve">d), suggesting a shift of nutrients from phytoplankton to drift macroalgae communities or changing availability of nutrient ratios creating favorable conditions for macroalgae growth</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could have stimulated growth of the latter, although residual nutrients from the initial release from Piney Point were likely still available</w:t>
      </w:r>
      <w:r>
        <w:t xml:space="preserve"> </w:t>
      </w:r>
      <w:r>
        <w:t xml:space="preserve">(</w:t>
      </w:r>
      <w:hyperlink w:anchor="ref-Liu21">
        <w:r>
          <w:rPr>
            <w:rStyle w:val="Hyperlink"/>
          </w:rPr>
          <w:t xml:space="preserve">Liu et al., 2021</w:t>
        </w:r>
      </w:hyperlink>
      <w:r>
        <w:t xml:space="preserve">)</w:t>
      </w:r>
      <w:r>
        <w:t xml:space="preserve">. Finally, conditions were relatively stable in August and September with relatively improved water quality conditions and no dominant algal blooms.</w:t>
      </w:r>
    </w:p>
    <w:p>
      <w:pPr>
        <w:pStyle w:val="BodyText"/>
      </w:pPr>
      <w:r>
        <w:t xml:space="preserve">Our quantitative results provide some evidence to support the progression of events outlined above as a flow of nutrients over time. The distinct temporal progression can be readily identified through an ordination plot (Figure S7) for the observed data in Figure</w:t>
      </w:r>
      <w:r>
        <w:t xml:space="preserve"> </w:t>
      </w:r>
      <w:r>
        <w:t xml:space="preserve">8</w:t>
      </w:r>
      <w:r>
        <w:t xml:space="preserve">. Weekly summaries of the data are clearly separated in the ordination into monthly groups where different communities were dominant and is partially explained by orientation of the water quality vectors relative to cyanobacteria, diatoms, and</w:t>
      </w:r>
      <w:r>
        <w:t xml:space="preserve"> </w:t>
      </w:r>
      <w:r>
        <w:rPr>
          <w:iCs/>
          <w:i/>
        </w:rPr>
        <w:t xml:space="preserve">K. brevis</w:t>
      </w:r>
      <w:r>
        <w:t xml:space="preserve">. For example, total nitrogen and chlorophyll are strongly aligned with the</w:t>
      </w:r>
      <w:r>
        <w:t xml:space="preserve"> </w:t>
      </w:r>
      <w:r>
        <w:rPr>
          <w:iCs/>
          <w:i/>
        </w:rPr>
        <w:t xml:space="preserve">K. brevis</w:t>
      </w:r>
      <w:r>
        <w:t xml:space="preserve"> </w:t>
      </w:r>
      <w:r>
        <w:t xml:space="preserve">axis as nutrients were likely available in organic form during the peak of the red tide event. However, this simple analysis only demonstrates an association in the observed data and cannot be verified without additional information.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Additional confounding variables can also obscure the association between water quality and community changes. Bay conditions preceding the 2021 events, as well as the passage of tropical storm Elsa, could obscure these associations (described below).</w:t>
      </w:r>
    </w:p>
    <w:bookmarkEnd w:id="63"/>
    <w:bookmarkStart w:id="64" w:name="additional-interpretation-of-impacts"/>
    <w:p>
      <w:pPr>
        <w:pStyle w:val="Heading2"/>
      </w:pPr>
      <w:r>
        <w:t xml:space="preserve">Additional interpretation of impacts</w:t>
      </w:r>
    </w:p>
    <w:p>
      <w:pPr>
        <w:pStyle w:val="FirstParagraph"/>
      </w:pPr>
      <w:r>
        <w:t xml:space="preserve">Several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(Figures S2, S3). Of note is that inorganic species of nitrogen, mainly ammonia, were only present at high concentrations in early April. Management concerns of the negative impacts of nutrients on water quality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particulate and dissolved organic sources was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Previous research for Tampa Bay has identified water quality conditions that are likely to promote seagrass growth</w:t>
      </w:r>
      <w:r>
        <w:t xml:space="preserve"> </w:t>
      </w:r>
      <w:r>
        <w:t xml:space="preserve">(</w:t>
      </w:r>
      <w:hyperlink w:anchor="ref-Greening14">
        <w:r>
          <w:rPr>
            <w:rStyle w:val="Hyperlink"/>
          </w:rPr>
          <w:t xml:space="preserve">Greening et al., 2014</w:t>
        </w:r>
      </w:hyperlink>
      <w:r>
        <w:t xml:space="preserve">, and references therein;</w:t>
      </w:r>
      <w:r>
        <w:t xml:space="preserve"> </w:t>
      </w:r>
      <w:hyperlink w:anchor="ref-Greening06">
        <w:r>
          <w:rPr>
            <w:rStyle w:val="Hyperlink"/>
          </w:rPr>
          <w:t xml:space="preserve">Greening and Janicki, 2006</w:t>
        </w:r>
      </w:hyperlink>
      <w:r>
        <w:t xml:space="preserve">)</w:t>
      </w:r>
      <w:r>
        <w:t xml:space="preserve">. The results observed in 2021 suggested water quality conditions were not supportive of seagrass growth, although changes were not observed and the conditions likely did not persist long enough to impact seagrasses.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w:t>
      </w:r>
      <w:r>
        <w:t xml:space="preserve"> </w:t>
      </w:r>
      <w:r>
        <w:t xml:space="preserve">(e.g., alteration of sediment geochemistry,</w:t>
      </w:r>
      <w:r>
        <w:t xml:space="preserve"> </w:t>
      </w:r>
      <w:hyperlink w:anchor="ref-Eldridge04">
        <w:r>
          <w:rPr>
            <w:rStyle w:val="Hyperlink"/>
          </w:rPr>
          <w:t xml:space="preserve">Eldridge et al., 2004</w:t>
        </w:r>
      </w:hyperlink>
      <w:r>
        <w:t xml:space="preserve">)</w:t>
      </w:r>
      <w:r>
        <w:t xml:space="preserve">. Ecosystem shifts from seagrass to macroalgae dominated communities are also a concern, both in 2021 and as observed at some locations in recent years from annual transect monitoring results for Tampa Bay. In particular, increasing abundance in recent years of the green algae</w:t>
      </w:r>
      <w:r>
        <w:t xml:space="preserve"> </w:t>
      </w:r>
      <w:r>
        <w:rPr>
          <w:iCs/>
          <w:i/>
        </w:rPr>
        <w:t xml:space="preserve">Caulerpa</w:t>
      </w:r>
      <w:r>
        <w:t xml:space="preserve"> </w:t>
      </w:r>
      <w:r>
        <w:t xml:space="preserve">sp. 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to managing seagrass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w:t>
      </w:r>
      <w:r>
        <w:t xml:space="preserve"> </w:t>
      </w:r>
      <w:r>
        <w:t xml:space="preserve">spp.,</w:t>
      </w:r>
      <w:r>
        <w:t xml:space="preserve"> </w:t>
      </w:r>
      <w:r>
        <w:rPr>
          <w:iCs/>
          <w:i/>
        </w:rPr>
        <w:t xml:space="preserve">Acanthophora</w:t>
      </w:r>
      <w:r>
        <w:t xml:space="preserve"> </w:t>
      </w:r>
      <w:r>
        <w:t xml:space="preserve">sp.) are more common than green macroalgae (e.g.,</w:t>
      </w:r>
      <w:r>
        <w:t xml:space="preserve"> </w:t>
      </w:r>
      <w:r>
        <w:rPr>
          <w:iCs/>
          <w:i/>
        </w:rPr>
        <w:t xml:space="preserve">Ulva</w:t>
      </w:r>
      <w:r>
        <w:t xml:space="preserve"> </w:t>
      </w:r>
      <w:r>
        <w:t xml:space="preserve">spp.,</w:t>
      </w:r>
      <w:r>
        <w:t xml:space="preserve"> </w:t>
      </w:r>
      <w:r>
        <w:rPr>
          <w:iCs/>
          <w:i/>
        </w:rPr>
        <w:t xml:space="preserve">Caulerpa</w:t>
      </w:r>
      <w:r>
        <w:t xml:space="preserve"> </w:t>
      </w:r>
      <w:r>
        <w:t xml:space="preserve">spp.) and occur earlier in the growing season. The dominance of the red groups early in the summer followed by an increase in the green alga</w:t>
      </w:r>
      <w:r>
        <w:t xml:space="preserve"> </w:t>
      </w:r>
      <w:r>
        <w:rPr>
          <w:iCs/>
          <w:i/>
        </w:rPr>
        <w:t xml:space="preserve">Ulva</w:t>
      </w:r>
      <w:r>
        <w:t xml:space="preserve"> </w:t>
      </w:r>
      <w:r>
        <w:t xml:space="preserve">spp. may reflect a natural phenology in Tampa Bay. The most notable change in the macroalgal community in 2021 was a high abundance of filamentous cyanobacteria (i.e.,</w:t>
      </w:r>
      <w:r>
        <w:t xml:space="preserve"> </w:t>
      </w:r>
      <w:r>
        <w:rPr>
          <w:iCs/>
          <w:i/>
        </w:rPr>
        <w:t xml:space="preserve">Dapis</w:t>
      </w:r>
      <w:r>
        <w:t xml:space="preserve"> </w:t>
      </w:r>
      <w:r>
        <w:t xml:space="preserve">spp.) in May and June. High abundances of</w:t>
      </w:r>
      <w:r>
        <w:t xml:space="preserve"> </w:t>
      </w:r>
      <w:r>
        <w:rPr>
          <w:iCs/>
          <w:i/>
        </w:rPr>
        <w:t xml:space="preserve">Dapis</w:t>
      </w:r>
      <w:r>
        <w:t xml:space="preserve"> </w:t>
      </w:r>
      <w:r>
        <w:t xml:space="preserve">spp. were observed in Anna Maria Sound near the mouth of Tampa Bay and near Port Manatee at the release site, which is uncommon at these locations. Long-term monitoring data describing normal seasonal variation in macroalgae are unavailable and we cannot distinguish between seasonal and interannual changes and those in potential response to the Piney Point release. Filamentous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 Although long-term seasonal data are unavailable for comparison, anecdotal reports suggested that the observed biomass in 2021 was very unusual (R. Woithe, Environmental Science Associates, pers. comm. Dec. 2021).</w:t>
      </w:r>
    </w:p>
    <w:p>
      <w:pPr>
        <w:pStyle w:val="BodyText"/>
      </w:pPr>
      <w:r>
        <w:t xml:space="preserve">There were also concerns that the release from Piney may have contributed to the persistence and intensity of</w:t>
      </w:r>
      <w:r>
        <w:t xml:space="preserve"> </w:t>
      </w:r>
      <w:r>
        <w:rPr>
          <w:iCs/>
          <w:i/>
        </w:rPr>
        <w:t xml:space="preserve">K. brevis</w:t>
      </w:r>
      <w:r>
        <w:t xml:space="preserve">, having negative effects on fisheries resources in June and July (Figure</w:t>
      </w:r>
      <w:r>
        <w:t xml:space="preserve"> </w:t>
      </w:r>
      <w:r>
        <w:t xml:space="preserve">6</w:t>
      </w:r>
      <w:r>
        <w:t xml:space="preserve">). Fisheries resources in Tampa Bay have previously been negatively affected by red tide</w:t>
      </w:r>
      <w:r>
        <w:t xml:space="preserve"> </w:t>
      </w:r>
      <w:r>
        <w:t xml:space="preserve">(e.g., in 2005,</w:t>
      </w:r>
      <w:r>
        <w:t xml:space="preserve"> </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in Tampa Bay were more localized and</w:t>
      </w:r>
      <w:r>
        <w:t xml:space="preserve"> </w:t>
      </w:r>
      <w:r>
        <w:rPr>
          <w:iCs/>
          <w:i/>
        </w:rPr>
        <w:t xml:space="preserve">K. brevis</w:t>
      </w:r>
      <w:r>
        <w:t xml:space="preserve"> </w:t>
      </w:r>
      <w:r>
        <w:t xml:space="preserve">was at lower abundances in comparison to the 2021 bloom event, potentially mitigating exposure of fishes to related harmful conditions. In Sarasota Bay to the south, fish activity measured by passive acoustic methods was significantly lower during a 2018 red tide event as compared to pre-bloom levels</w:t>
      </w:r>
      <w:r>
        <w:t xml:space="preserve"> </w:t>
      </w:r>
      <w:r>
        <w:t xml:space="preserve">(</w:t>
      </w:r>
      <w:hyperlink w:anchor="ref-Rycyk20">
        <w:r>
          <w:rPr>
            <w:rStyle w:val="Hyperlink"/>
          </w:rPr>
          <w:t xml:space="preserve">Rycyk et al., 2020</w:t>
        </w:r>
      </w:hyperlink>
      <w:r>
        <w:t xml:space="preserve">)</w:t>
      </w:r>
      <w:r>
        <w:t xml:space="preserve">. Water quality conditions before and after passage of tropical storm Elsa may have also contributed to fish kills by reducing bottom-water dissolved oxygen.</w:t>
      </w:r>
      <w:r>
        <w:t xml:space="preserve"> </w:t>
      </w:r>
      <w:hyperlink w:anchor="ref-Stevens06">
        <w:r>
          <w:rPr>
            <w:rStyle w:val="Hyperlink"/>
          </w:rPr>
          <w:t xml:space="preserve">Stevens et al.</w:t>
        </w:r>
      </w:hyperlink>
      <w:r>
        <w:t xml:space="preserve"> </w:t>
      </w:r>
      <w:r>
        <w:t xml:space="preserve">(</w:t>
      </w:r>
      <w:hyperlink w:anchor="ref-Stevens06">
        <w:r>
          <w:rPr>
            <w:rStyle w:val="Hyperlink"/>
          </w:rPr>
          <w:t xml:space="preserve">2006</w:t>
        </w:r>
      </w:hyperlink>
      <w:r>
        <w:t xml:space="preserve">)</w:t>
      </w:r>
      <w:r>
        <w:t xml:space="preserve"> </w:t>
      </w:r>
      <w:r>
        <w:t xml:space="preserve">documented impacts of a category 4 storm on fish resources in the Charlotte Harbor estuary, although tropical storm Elsa was much smaller and fish kills were documented prior to and after arrival of the storm. Lack of continuous monitoring data for bottom waters in Tampa Bay prevents a more detailed assessment of impacts of the storm on water quality.</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2">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Seasonal persistence in Gulf waters in southwest Florida can vary between years, with some blooms lasting as short as a few weeks, while others have been present for longer than a year</w:t>
      </w:r>
      <w:r>
        <w:t xml:space="preserve"> </w:t>
      </w:r>
      <w:r>
        <w:t xml:space="preserve">(the 2018 bloom lasted sixteen months,</w:t>
      </w:r>
      <w:r>
        <w:t xml:space="preserve"> </w:t>
      </w:r>
      <w:hyperlink w:anchor="ref-Skripnikov21">
        <w:r>
          <w:rPr>
            <w:rStyle w:val="Hyperlink"/>
          </w:rPr>
          <w:t xml:space="preserve">Skripnikov et al., 2021</w:t>
        </w:r>
      </w:hyperlink>
      <w:r>
        <w:t xml:space="preserve">)</w:t>
      </w:r>
      <w:r>
        <w:t xml:space="preserve">. Severity in estuaries is typically less than Gulf waters as</w:t>
      </w:r>
      <w:r>
        <w:t xml:space="preserve"> </w:t>
      </w:r>
      <w:r>
        <w:rPr>
          <w:iCs/>
          <w:i/>
        </w:rPr>
        <w:t xml:space="preserve">K. brevis</w:t>
      </w:r>
      <w:r>
        <w:t xml:space="preserve"> </w:t>
      </w:r>
      <w:r>
        <w:t xml:space="preserve">is limited to higher salinity. Contributing factors in 2021, such as low rainfall preceding the bloom and varying wind patterns, created conditions that were favorable for growth of</w:t>
      </w:r>
      <w:r>
        <w:t xml:space="preserve"> </w:t>
      </w:r>
      <w:r>
        <w:rPr>
          <w:iCs/>
          <w:i/>
        </w:rPr>
        <w:t xml:space="preserve">K. brevis</w:t>
      </w:r>
      <w:r>
        <w:t xml:space="preserve"> </w:t>
      </w:r>
      <w:r>
        <w:t xml:space="preserve">in Tampa Bay.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created conditions in Tampa Bay conducive for the extreme bloom concentrations observed in July.</w:t>
      </w:r>
    </w:p>
    <w:p>
      <w:pPr>
        <w:pStyle w:val="BodyText"/>
      </w:pPr>
      <w:r>
        <w:t xml:space="preserve">In the broader context of mining impacts to surface waters, these results reinforce the understanding that legacy pollutants from phosphate mining can negatively affect environmental resources. In addition to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For example, two spills have occurred in Grand Bay, Mississippi, the first in 2005 following failure of the retaining walls after a heavy rain event and the second in 2012 after passage of Hurricane Isaac when the holding capacity of the local gypstack was exceeded again with heavy rainfall</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r>
        <w:t xml:space="preserve"> </w:t>
      </w:r>
      <w:r>
        <w:t xml:space="preserve">(</w:t>
      </w:r>
      <w:hyperlink w:anchor="ref-Nelson21">
        <w:r>
          <w:rPr>
            <w:rStyle w:val="Hyperlink"/>
          </w:rPr>
          <w:t xml:space="preserve">Nelson et al., 2021</w:t>
        </w:r>
      </w:hyperlink>
      <w:r>
        <w:t xml:space="preserve">)</w:t>
      </w:r>
      <w:r>
        <w:t xml:space="preserve">. Local, regional, and state partners should continue to pursue management and policy actions that can mitigate the continued threats of these facilities to the health of coastal resources. These efforts are critical to managing Gulf of Mexico ecosystems given past successes and the need to address ongoing threats of climate change, human population growth, habitat loss, severe weather events, and recurring pollutant sources.</w:t>
      </w:r>
    </w:p>
    <w:bookmarkEnd w:id="64"/>
    <w:bookmarkEnd w:id="65"/>
    <w:bookmarkStart w:id="66"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6"/>
    <w:bookmarkStart w:id="75"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7"/>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467099"/>
            <wp:effectExtent b="0" l="0" r="0" t="0"/>
            <wp:docPr descr="Figure 2: Water quality data (raw observations) for April through September 2021 following the release from Piney Point for (a) total nitrogen (mg/L), (b) chlorophyll-a (\m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68"/>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2: Water quality data (raw observations) for April through September 2021 following the release from Piney Point for (a) total nitrogen (mg/L), (b) chlorophyll-a (</w:t>
      </w:r>
      <m:oMath>
        <m:r>
          <m:t>μ</m:t>
        </m:r>
      </m:oMath>
      <w:r>
        <w:t xml:space="preserve">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3: Expected 2021 (a) total nitrogen (mg/L), (b) chlorophyll-a (\mu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C:/proj/piney-point-manu/figs/wqgam.jpeg" id="0" name="Picture"/>
                    <pic:cNvPicPr>
                      <a:picLocks noChangeArrowheads="1" noChangeAspect="1"/>
                    </pic:cNvPicPr>
                  </pic:nvPicPr>
                  <pic:blipFill>
                    <a:blip r:embed="rId69"/>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3: Expected 2021 (a) total nitrogen (mg/L), (b) chlorophyll-a (</w:t>
      </w:r>
      <m:oMath>
        <m:r>
          <m:t>μ</m:t>
        </m:r>
      </m:oMath>
      <w:r>
        <w:t xml:space="preserve">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4: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70"/>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4: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w:t>
      </w:r>
      <w:r>
        <w:t xml:space="preserve"> </w:t>
      </w:r>
      <w:r>
        <w:t xml:space="preserve">spp. (cyanobacteria) peaking in June and green macroalgae (</w:t>
      </w:r>
      <w:r>
        <w:rPr>
          <w:iCs/>
          <w:i/>
        </w:rPr>
        <w:t xml:space="preserve">Ulva</w:t>
      </w:r>
      <w:r>
        <w:t xml:space="preserve"> </w:t>
      </w:r>
      <w:r>
        <w:t xml:space="preserve">spp.) increasing in July. Abundances are Braun-Blanquet coverage estimates.</w:t>
      </w:r>
    </w:p>
    <w:p>
      <w:pPr>
        <w:pStyle w:val="CaptionedFigure"/>
      </w:pPr>
      <w:r>
        <w:drawing>
          <wp:inline>
            <wp:extent cx="5943600" cy="3962400"/>
            <wp:effectExtent b="0" l="0" r="0" t="0"/>
            <wp:docPr descr="Figure 5: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7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5: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6: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2"/>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6:</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w:t>
      </w:r>
    </w:p>
    <w:p>
      <w:pPr>
        <w:pStyle w:val="CaptionedFigure"/>
      </w:pPr>
      <w:r>
        <w:drawing>
          <wp:inline>
            <wp:extent cx="5943600" cy="2509520"/>
            <wp:effectExtent b="0" l="0" r="0" t="0"/>
            <wp:docPr descr="Figure 7: Graphical timeline of events in Tampa Bay from March 30th through September 2021 following the release from Piney Point. Inset image shows blooms of filamentous cyanobacteria (Dapis spp.)." title="" id="1" name="Picture"/>
            <a:graphic>
              <a:graphicData uri="http://schemas.openxmlformats.org/drawingml/2006/picture">
                <pic:pic>
                  <pic:nvPicPr>
                    <pic:cNvPr descr="C:/proj/piney-point-manu/figs/timeline.jpg" id="0" name="Picture"/>
                    <pic:cNvPicPr>
                      <a:picLocks noChangeArrowheads="1" noChangeAspect="1"/>
                    </pic:cNvPicPr>
                  </pic:nvPicPr>
                  <pic:blipFill>
                    <a:blip r:embed="rId73"/>
                    <a:stretch>
                      <a:fillRect/>
                    </a:stretch>
                  </pic:blipFill>
                  <pic:spPr bwMode="auto">
                    <a:xfrm>
                      <a:off x="0" y="0"/>
                      <a:ext cx="5943600" cy="2509520"/>
                    </a:xfrm>
                    <a:prstGeom prst="rect">
                      <a:avLst/>
                    </a:prstGeom>
                    <a:noFill/>
                    <a:ln w="9525">
                      <a:noFill/>
                      <a:headEnd/>
                      <a:tailEnd/>
                    </a:ln>
                  </pic:spPr>
                </pic:pic>
              </a:graphicData>
            </a:graphic>
          </wp:inline>
        </w:drawing>
      </w:r>
    </w:p>
    <w:p>
      <w:pPr>
        <w:pStyle w:val="ImageCaption"/>
      </w:pPr>
      <w:r>
        <w:t xml:space="preserve">Figure 7: Graphical timeline of events in Tampa Bay from March 30th through September 2021 following the release from Piney Point. Inset image shows blooms of filamentous cyanobacteria (</w:t>
      </w:r>
      <w:r>
        <w:rPr>
          <w:iCs/>
          <w:i/>
        </w:rPr>
        <w:t xml:space="preserve">Dapis</w:t>
      </w:r>
      <w:r>
        <w:t xml:space="preserve"> </w:t>
      </w:r>
      <w:r>
        <w:t xml:space="preserve">spp.).</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filamentous cyanobacteria abundances, and (e) Karenia brevis cell concentrations. Values are summarized for all samples within each week. The values suggest nutrient cycling between water column phytoplankton in the initial April diatom bloom, then to filamentous cyanobacteria in May to June, and then to K. brevis peaking in early July. Quantitative cell counts for diatoms are missing for several weeks, but see Figure S6 for frequency occur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4"/>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filamentous cyanobacteria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filamentous cyanobacteria in May to June, and then to</w:t>
      </w:r>
      <w:r>
        <w:t xml:space="preserve"> </w:t>
      </w:r>
      <w:r>
        <w:rPr>
          <w:iCs/>
          <w:i/>
        </w:rPr>
        <w:t xml:space="preserve">K. brevis</w:t>
      </w:r>
      <w:r>
        <w:t xml:space="preserve"> </w:t>
      </w:r>
      <w:r>
        <w:t xml:space="preserve">peaking in early July. Quantitative cell counts for diatoms are missing for several weeks, but see Figure S6 for frequency occurrence estimates across all dates. Diatom concentrations are based on combined cell counts from</w:t>
      </w:r>
      <w:r>
        <w:t xml:space="preserve"> </w:t>
      </w:r>
      <w:r>
        <w:rPr>
          <w:iCs/>
          <w:i/>
        </w:rPr>
        <w:t xml:space="preserve">Asterionellopsis</w:t>
      </w:r>
      <w:r>
        <w:t xml:space="preserve"> </w:t>
      </w:r>
      <w:r>
        <w:t xml:space="preserve">sp. and</w:t>
      </w:r>
      <w:r>
        <w:t xml:space="preserve"> </w:t>
      </w:r>
      <w:r>
        <w:rPr>
          <w:iCs/>
          <w:i/>
        </w:rPr>
        <w:t xml:space="preserve">Skeletonema sp</w:t>
      </w:r>
      <w:r>
        <w:t xml:space="preserve">.</w:t>
      </w:r>
    </w:p>
    <w:bookmarkEnd w:id="75"/>
    <w:bookmarkStart w:id="76" w:name="tables"/>
    <w:p>
      <w:pPr>
        <w:pStyle w:val="Heading1"/>
      </w:pPr>
      <w:r>
        <w:t xml:space="preserve">Tables</w:t>
      </w:r>
    </w:p>
    <w:p>
      <w:pPr>
        <w:pStyle w:val="TableCaption"/>
      </w:pPr>
      <w:r>
        <w:t xml:space="preserve">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The 2021 samples are from the NGS-S stack on April 13th and directly from the outflow site at Port Manatee on April 6th. Missing values were not measured in the stack water or release water.</w:t>
      </w:r>
    </w:p>
    <w:tbl>
      <w:tblPr>
        <w:tblStyle w:val="Table"/>
        <w:tblW w:type="pct" w:w="5000"/>
        <w:tblLook w:firstRow="1" w:lastRow="0" w:firstColumn="0" w:lastColumn="0" w:noHBand="0" w:noVBand="0" w:val="0020"/>
        <w:tblCaption w:val="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The 2021 samples are from the NGS-S stack on April 13th and directly from the outflow site at Port Manatee on April 6th. Missing values were not measured in the stack water or release water."/>
      </w:tblPr>
      <w:tblGrid>
        <w:gridCol w:w="1530"/>
        <w:gridCol w:w="1131"/>
        <w:gridCol w:w="1131"/>
        <w:gridCol w:w="1064"/>
        <w:gridCol w:w="3061"/>
      </w:tblGrid>
      <w:tr>
        <w:trPr>
          <w:tblHeader w:val="true"/>
        </w:trPr>
        <w:tc>
          <w:tcPr/>
          <w:p>
            <w:pPr>
              <w:pStyle w:val="Compact"/>
              <w:jc w:val="left"/>
            </w:pPr>
            <w:r>
              <w:t xml:space="preserve">Water quality variable</w:t>
            </w:r>
          </w:p>
        </w:tc>
        <w:tc>
          <w:tcPr/>
          <w:p>
            <w:pPr>
              <w:pStyle w:val="Compact"/>
              <w:jc w:val="left"/>
            </w:pPr>
            <w:r>
              <w:t xml:space="preserve">2019 stack value</w:t>
            </w:r>
          </w:p>
        </w:tc>
        <w:tc>
          <w:tcPr/>
          <w:p>
            <w:pPr>
              <w:pStyle w:val="Compact"/>
              <w:jc w:val="left"/>
            </w:pPr>
            <w:r>
              <w:t xml:space="preserve">2021 stack value</w:t>
            </w:r>
          </w:p>
        </w:tc>
        <w:tc>
          <w:tcPr/>
          <w:p>
            <w:pPr>
              <w:pStyle w:val="Compact"/>
              <w:jc w:val="left"/>
            </w:pPr>
            <w:r>
              <w:t xml:space="preserve">2021 pipe value</w:t>
            </w:r>
          </w:p>
        </w:tc>
        <w:tc>
          <w:tcPr/>
          <w:p>
            <w:pPr>
              <w:pStyle w:val="Compact"/>
              <w:jc w:val="left"/>
            </w:pPr>
            <w:r>
              <w:t xml:space="preserve">2006 - 2020 lower Tampa Bay median (min, max)</w:t>
            </w:r>
          </w:p>
        </w:tc>
      </w:tr>
      <w:tr>
        <w:tc>
          <w:tcPr/>
          <w:p>
            <w:pPr>
              <w:pStyle w:val="Compact"/>
              <w:jc w:val="left"/>
            </w:pPr>
            <w:r>
              <w:t xml:space="preserve">Nitrate/Nitrite (mg/L)</w:t>
            </w:r>
          </w:p>
        </w:tc>
        <w:tc>
          <w:tcPr/>
          <w:p>
            <w:pPr>
              <w:pStyle w:val="Compact"/>
              <w:jc w:val="left"/>
            </w:pPr>
            <w:r>
              <w:t xml:space="preserve">0.004</w:t>
            </w:r>
          </w:p>
        </w:tc>
        <w:tc>
          <w:tcPr/>
          <w:p>
            <w:pPr>
              <w:pStyle w:val="Compact"/>
              <w:jc w:val="left"/>
            </w:pPr>
            <w:r>
              <w:t xml:space="preserve">0.292</w:t>
            </w:r>
          </w:p>
        </w:tc>
        <w:tc>
          <w:tcPr/>
          <w:p>
            <w:pPr>
              <w:pStyle w:val="Compact"/>
              <w:jc w:val="left"/>
            </w:pPr>
            <w:r>
              <w:t xml:space="preserve">0.004</w:t>
            </w:r>
          </w:p>
        </w:tc>
        <w:tc>
          <w:tcPr/>
          <w:p>
            <w:pPr>
              <w:pStyle w:val="Compact"/>
              <w:jc w:val="left"/>
            </w:pPr>
            <w:r>
              <w:t xml:space="preserve">0.012 (0.007, 0.014)</w:t>
            </w:r>
          </w:p>
        </w:tc>
      </w:tr>
      <w:tr>
        <w:tc>
          <w:tcPr/>
          <w:p>
            <w:pPr>
              <w:pStyle w:val="Compact"/>
              <w:jc w:val="left"/>
            </w:pPr>
            <w:r>
              <w:t xml:space="preserve">NH3, NH4+ (mg/L)</w:t>
            </w:r>
          </w:p>
        </w:tc>
        <w:tc>
          <w:tcPr/>
          <w:p>
            <w:pPr>
              <w:pStyle w:val="Compact"/>
              <w:jc w:val="left"/>
            </w:pPr>
            <w:r>
              <w:t xml:space="preserve">210</w:t>
            </w:r>
          </w:p>
        </w:tc>
        <w:tc>
          <w:tcPr/>
          <w:p>
            <w:pPr>
              <w:pStyle w:val="Compact"/>
              <w:jc w:val="left"/>
            </w:pPr>
            <w:r>
              <w:t xml:space="preserve">-</w:t>
            </w:r>
          </w:p>
        </w:tc>
        <w:tc>
          <w:tcPr/>
          <w:p>
            <w:pPr>
              <w:pStyle w:val="Compact"/>
              <w:jc w:val="left"/>
            </w:pPr>
            <w:r>
              <w:t xml:space="preserve">210</w:t>
            </w:r>
          </w:p>
        </w:tc>
        <w:tc>
          <w:tcPr/>
          <w:p>
            <w:pPr>
              <w:pStyle w:val="Compact"/>
              <w:jc w:val="left"/>
            </w:pPr>
            <w:r>
              <w:t xml:space="preserve">0.019 (0.007, 0.039)</w:t>
            </w:r>
          </w:p>
        </w:tc>
      </w:tr>
      <w:tr>
        <w:tc>
          <w:tcPr/>
          <w:p>
            <w:pPr>
              <w:pStyle w:val="Compact"/>
              <w:jc w:val="left"/>
            </w:pPr>
            <w:r>
              <w:t xml:space="preserve">TN (mg/L)</w:t>
            </w:r>
          </w:p>
        </w:tc>
        <w:tc>
          <w:tcPr/>
          <w:p>
            <w:pPr>
              <w:pStyle w:val="Compact"/>
              <w:jc w:val="left"/>
            </w:pPr>
            <w:r>
              <w:t xml:space="preserve">230</w:t>
            </w:r>
          </w:p>
        </w:tc>
        <w:tc>
          <w:tcPr/>
          <w:p>
            <w:pPr>
              <w:pStyle w:val="Compact"/>
              <w:jc w:val="left"/>
            </w:pPr>
            <w:r>
              <w:t xml:space="preserve">-</w:t>
            </w:r>
          </w:p>
        </w:tc>
        <w:tc>
          <w:tcPr/>
          <w:p>
            <w:pPr>
              <w:pStyle w:val="Compact"/>
              <w:jc w:val="left"/>
            </w:pPr>
            <w:r>
              <w:t xml:space="preserve">220</w:t>
            </w:r>
          </w:p>
        </w:tc>
        <w:tc>
          <w:tcPr/>
          <w:p>
            <w:pPr>
              <w:pStyle w:val="Compact"/>
              <w:jc w:val="left"/>
            </w:pPr>
            <w:r>
              <w:t xml:space="preserve">0.288 (0.226, 0.385)</w:t>
            </w:r>
          </w:p>
        </w:tc>
      </w:tr>
      <w:tr>
        <w:tc>
          <w:tcPr/>
          <w:p>
            <w:pPr>
              <w:pStyle w:val="Compact"/>
              <w:jc w:val="left"/>
            </w:pPr>
            <w:r>
              <w:t xml:space="preserve">TP (mg/L)</w:t>
            </w:r>
          </w:p>
        </w:tc>
        <w:tc>
          <w:tcPr/>
          <w:p>
            <w:pPr>
              <w:pStyle w:val="Compact"/>
              <w:jc w:val="left"/>
            </w:pPr>
            <w:r>
              <w:t xml:space="preserve">160</w:t>
            </w:r>
          </w:p>
        </w:tc>
        <w:tc>
          <w:tcPr/>
          <w:p>
            <w:pPr>
              <w:pStyle w:val="Compact"/>
              <w:jc w:val="left"/>
            </w:pPr>
            <w:r>
              <w:t xml:space="preserve">161</w:t>
            </w:r>
          </w:p>
        </w:tc>
        <w:tc>
          <w:tcPr/>
          <w:p>
            <w:pPr>
              <w:pStyle w:val="Compact"/>
              <w:jc w:val="left"/>
            </w:pPr>
            <w:r>
              <w:t xml:space="preserve">140</w:t>
            </w:r>
          </w:p>
        </w:tc>
        <w:tc>
          <w:tcPr/>
          <w:p>
            <w:pPr>
              <w:pStyle w:val="Compact"/>
              <w:jc w:val="left"/>
            </w:pPr>
            <w:r>
              <w:t xml:space="preserve">0.082 (0.058, 0.145)</w:t>
            </w:r>
          </w:p>
        </w:tc>
      </w:tr>
      <w:tr>
        <w:tc>
          <w:tcPr/>
          <w:p>
            <w:pPr>
              <w:pStyle w:val="Compact"/>
              <w:jc w:val="left"/>
            </w:pPr>
            <w:r>
              <w:t xml:space="preserve">Ortho-P (mg/L)</w:t>
            </w:r>
          </w:p>
        </w:tc>
        <w:tc>
          <w:tcPr/>
          <w:p>
            <w:pPr>
              <w:pStyle w:val="Compact"/>
              <w:jc w:val="left"/>
            </w:pPr>
            <w:r>
              <w:t xml:space="preserve">150</w:t>
            </w:r>
          </w:p>
        </w:tc>
        <w:tc>
          <w:tcPr/>
          <w:p>
            <w:pPr>
              <w:pStyle w:val="Compact"/>
              <w:jc w:val="left"/>
            </w:pPr>
            <w:r>
              <w:t xml:space="preserve">155</w:t>
            </w:r>
          </w:p>
        </w:tc>
        <w:tc>
          <w:tcPr/>
          <w:p>
            <w:pPr>
              <w:pStyle w:val="Compact"/>
              <w:jc w:val="left"/>
            </w:pPr>
            <w:r>
              <w:t xml:space="preserve">140</w:t>
            </w:r>
          </w:p>
        </w:tc>
        <w:tc>
          <w:tcPr/>
          <w:p>
            <w:pPr>
              <w:pStyle w:val="Compact"/>
              <w:jc w:val="left"/>
            </w:pPr>
            <w:r>
              <w:t xml:space="preserve">0.049 (0.029, 0.055)</w:t>
            </w:r>
          </w:p>
        </w:tc>
      </w:tr>
      <w:tr>
        <w:tc>
          <w:tcPr/>
          <w:p>
            <w:pPr>
              <w:pStyle w:val="Compact"/>
              <w:jc w:val="left"/>
            </w:pPr>
            <w:r>
              <w:t xml:space="preserve">DO (% sat.)</w:t>
            </w:r>
          </w:p>
        </w:tc>
        <w:tc>
          <w:tcPr/>
          <w:p>
            <w:pPr>
              <w:pStyle w:val="Compact"/>
              <w:jc w:val="left"/>
            </w:pPr>
            <w:r>
              <w:t xml:space="preserve">107.5</w:t>
            </w:r>
          </w:p>
        </w:tc>
        <w:tc>
          <w:tcPr/>
          <w:p>
            <w:pPr>
              <w:pStyle w:val="Compact"/>
              <w:jc w:val="left"/>
            </w:pPr>
            <w:r>
              <w:t xml:space="preserve">-</w:t>
            </w:r>
          </w:p>
        </w:tc>
        <w:tc>
          <w:tcPr/>
          <w:p>
            <w:pPr>
              <w:pStyle w:val="Compact"/>
              <w:jc w:val="left"/>
            </w:pPr>
            <w:r>
              <w:t xml:space="preserve">-</w:t>
            </w:r>
          </w:p>
        </w:tc>
        <w:tc>
          <w:tcPr/>
          <w:p>
            <w:pPr>
              <w:pStyle w:val="Compact"/>
              <w:jc w:val="left"/>
            </w:pPr>
            <w:r>
              <w:t xml:space="preserve">90.7 (86, 92)</w:t>
            </w:r>
          </w:p>
        </w:tc>
      </w:tr>
      <w:tr>
        <w:tc>
          <w:tcPr/>
          <w:p>
            <w:pPr>
              <w:pStyle w:val="Compact"/>
              <w:jc w:val="left"/>
            </w:pPr>
            <w:r>
              <w:t xml:space="preserve">pH</w:t>
            </w:r>
          </w:p>
        </w:tc>
        <w:tc>
          <w:tcPr/>
          <w:p>
            <w:pPr>
              <w:pStyle w:val="Compact"/>
              <w:jc w:val="left"/>
            </w:pPr>
            <w:r>
              <w:t xml:space="preserve">4</w:t>
            </w:r>
          </w:p>
        </w:tc>
        <w:tc>
          <w:tcPr/>
          <w:p>
            <w:pPr>
              <w:pStyle w:val="Compact"/>
              <w:jc w:val="left"/>
            </w:pPr>
            <w:r>
              <w:t xml:space="preserve">-</w:t>
            </w:r>
          </w:p>
        </w:tc>
        <w:tc>
          <w:tcPr/>
          <w:p>
            <w:pPr>
              <w:pStyle w:val="Compact"/>
              <w:jc w:val="left"/>
            </w:pPr>
            <w:r>
              <w:t xml:space="preserve">-</w:t>
            </w:r>
          </w:p>
        </w:tc>
        <w:tc>
          <w:tcPr/>
          <w:p>
            <w:pPr>
              <w:pStyle w:val="Compact"/>
              <w:jc w:val="left"/>
            </w:pPr>
            <w:r>
              <w:t xml:space="preserve">8.1 (8, 8.1)</w:t>
            </w:r>
          </w:p>
        </w:tc>
      </w:tr>
      <w:tr>
        <w:tc>
          <w:tcPr/>
          <w:p>
            <w:pPr>
              <w:pStyle w:val="Compact"/>
              <w:jc w:val="left"/>
            </w:pPr>
            <w:r>
              <w:t xml:space="preserve">Chl-a (</w:t>
            </w:r>
            <m:oMath>
              <m:r>
                <m:t>μ</m:t>
              </m:r>
            </m:oMath>
            <w:r>
              <w:t xml:space="preserve">g/L)</w:t>
            </w:r>
          </w:p>
        </w:tc>
        <w:tc>
          <w:tcPr/>
          <w:p>
            <w:pPr>
              <w:pStyle w:val="Compact"/>
              <w:jc w:val="left"/>
            </w:pPr>
            <w:r>
              <w:t xml:space="preserve">-</w:t>
            </w:r>
          </w:p>
        </w:tc>
        <w:tc>
          <w:tcPr/>
          <w:p>
            <w:pPr>
              <w:pStyle w:val="Compact"/>
              <w:jc w:val="left"/>
            </w:pPr>
            <w:r>
              <w:t xml:space="preserve">105</w:t>
            </w:r>
          </w:p>
        </w:tc>
        <w:tc>
          <w:tcPr/>
          <w:p>
            <w:pPr>
              <w:pStyle w:val="Compact"/>
              <w:jc w:val="left"/>
            </w:pPr>
            <w:r>
              <w:t xml:space="preserve">-</w:t>
            </w:r>
          </w:p>
        </w:tc>
        <w:tc>
          <w:tcPr/>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of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
        <w:tblLook w:firstRow="1" w:lastRow="0" w:firstColumn="0" w:lastColumn="0" w:noHBand="0" w:noVBand="0" w:val="0020"/>
        <w:tblCaption w:val="Table 2: Summary of water quality variables collected in Tampa Bay from April through September 2021 following the release of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Med. (Min., Max.)</w:t>
            </w:r>
          </w:p>
        </w:tc>
        <w:tc>
          <w:tcPr/>
          <w:p>
            <w:pPr>
              <w:pStyle w:val="Compact"/>
              <w:jc w:val="right"/>
            </w:pPr>
            <w:r>
              <w:t xml:space="preserve">N obs.</w:t>
            </w:r>
          </w:p>
        </w:tc>
        <w:tc>
          <w:tcPr/>
          <w:p>
            <w:pPr>
              <w:pStyle w:val="Compact"/>
              <w:jc w:val="right"/>
            </w:pPr>
            <w:r>
              <w:t xml:space="preserve">% In range</w:t>
            </w:r>
          </w:p>
        </w:tc>
        <w:tc>
          <w:tcPr/>
          <w:p>
            <w:pPr>
              <w:pStyle w:val="Compact"/>
              <w:jc w:val="right"/>
            </w:pPr>
            <w:r>
              <w:t xml:space="preserve">% Above</w:t>
            </w:r>
          </w:p>
        </w:tc>
        <w:tc>
          <w:tcPr/>
          <w:p>
            <w:pPr>
              <w:pStyle w:val="Compact"/>
              <w:jc w:val="right"/>
            </w:pPr>
            <w:r>
              <w:t xml:space="preserve">% Below</w:t>
            </w:r>
          </w:p>
        </w:tc>
        <w:tc>
          <w:tcPr/>
          <w:p>
            <w:pPr>
              <w:pStyle w:val="Compact"/>
              <w:jc w:val="right"/>
            </w:pPr>
            <w:r>
              <w:t xml:space="preserve">% Outside detection</w:t>
            </w:r>
          </w:p>
        </w:tc>
      </w:tr>
      <w:tr>
        <w:tc>
          <w:tcPr/>
          <w:p>
            <w:pPr>
              <w:pStyle w:val="Compact"/>
              <w:jc w:val="left"/>
            </w:pPr>
            <w:r>
              <w:t xml:space="preserve">1</w:t>
            </w:r>
          </w:p>
        </w:tc>
        <w:tc>
          <w:tcPr/>
          <w:p>
            <w:pPr>
              <w:pStyle w:val="Compact"/>
              <w:jc w:val="left"/>
            </w:pPr>
            <w:r>
              <w:t xml:space="preserve">Chl-a (</w:t>
            </w:r>
            <m:oMath>
              <m:r>
                <m:t>μ</m:t>
              </m:r>
            </m:oMath>
            <w:r>
              <w:t xml:space="preserve">g/L)</w:t>
            </w:r>
          </w:p>
        </w:tc>
        <w:tc>
          <w:tcPr/>
          <w:p>
            <w:pPr>
              <w:pStyle w:val="Compact"/>
              <w:jc w:val="left"/>
            </w:pPr>
            <w:r>
              <w:t xml:space="preserve">4.3 (1.1, 265.01)</w:t>
            </w:r>
          </w:p>
        </w:tc>
        <w:tc>
          <w:tcPr/>
          <w:p>
            <w:pPr>
              <w:pStyle w:val="Compact"/>
              <w:jc w:val="right"/>
            </w:pPr>
            <w:r>
              <w:t xml:space="preserve">485</w:t>
            </w:r>
          </w:p>
        </w:tc>
        <w:tc>
          <w:tcPr/>
          <w:p>
            <w:pPr>
              <w:pStyle w:val="Compact"/>
              <w:jc w:val="right"/>
            </w:pPr>
            <w:r>
              <w:t xml:space="preserve">44</w:t>
            </w:r>
          </w:p>
        </w:tc>
        <w:tc>
          <w:tcPr/>
          <w:p>
            <w:pPr>
              <w:pStyle w:val="Compact"/>
              <w:jc w:val="right"/>
            </w:pPr>
            <w:r>
              <w:t xml:space="preserve">50</w:t>
            </w:r>
          </w:p>
        </w:tc>
        <w:tc>
          <w:tcPr/>
          <w:p>
            <w:pPr>
              <w:pStyle w:val="Compact"/>
              <w:jc w:val="right"/>
            </w:pPr>
            <w:r>
              <w:t xml:space="preserve">6</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97.9 (28.3, 215.3)</w:t>
            </w:r>
          </w:p>
        </w:tc>
        <w:tc>
          <w:tcPr/>
          <w:p>
            <w:pPr>
              <w:pStyle w:val="Compact"/>
              <w:jc w:val="right"/>
            </w:pPr>
            <w:r>
              <w:t xml:space="preserve">430</w:t>
            </w:r>
          </w:p>
        </w:tc>
        <w:tc>
          <w:tcPr/>
          <w:p>
            <w:pPr>
              <w:pStyle w:val="Compact"/>
              <w:jc w:val="right"/>
            </w:pPr>
            <w:r>
              <w:t xml:space="preserve">30</w:t>
            </w:r>
          </w:p>
        </w:tc>
        <w:tc>
          <w:tcPr/>
          <w:p>
            <w:pPr>
              <w:pStyle w:val="Compact"/>
              <w:jc w:val="right"/>
            </w:pPr>
            <w:r>
              <w:t xml:space="preserve">53</w:t>
            </w:r>
          </w:p>
        </w:tc>
        <w:tc>
          <w:tcPr/>
          <w:p>
            <w:pPr>
              <w:pStyle w:val="Compact"/>
              <w:jc w:val="right"/>
            </w:pPr>
            <w:r>
              <w:t xml:space="preserve">17</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0.005 (0, 14.86)</w:t>
            </w:r>
          </w:p>
        </w:tc>
        <w:tc>
          <w:tcPr/>
          <w:p>
            <w:pPr>
              <w:pStyle w:val="Compact"/>
              <w:jc w:val="right"/>
            </w:pPr>
            <w:r>
              <w:t xml:space="preserve">495</w:t>
            </w:r>
          </w:p>
        </w:tc>
        <w:tc>
          <w:tcPr/>
          <w:p>
            <w:pPr>
              <w:pStyle w:val="Compact"/>
              <w:jc w:val="right"/>
            </w:pPr>
            <w:r>
              <w:t xml:space="preserve">66</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26</w:t>
            </w:r>
          </w:p>
        </w:tc>
      </w:tr>
      <w:tr>
        <w:tc>
          <w:tcPr/>
          <w:p>
            <w:pPr>
              <w:pStyle w:val="Compact"/>
            </w:pPr>
          </w:p>
        </w:tc>
        <w:tc>
          <w:tcPr/>
          <w:p>
            <w:pPr>
              <w:pStyle w:val="Compact"/>
              <w:jc w:val="left"/>
            </w:pPr>
            <w:r>
              <w:t xml:space="preserve">Nitrate/Nitrite (mg/L)</w:t>
            </w:r>
          </w:p>
        </w:tc>
        <w:tc>
          <w:tcPr/>
          <w:p>
            <w:pPr>
              <w:pStyle w:val="Compact"/>
              <w:jc w:val="left"/>
            </w:pPr>
            <w:r>
              <w:t xml:space="preserve">0 (0, 0.14352)</w:t>
            </w:r>
          </w:p>
        </w:tc>
        <w:tc>
          <w:tcPr/>
          <w:p>
            <w:pPr>
              <w:pStyle w:val="Compact"/>
              <w:jc w:val="right"/>
            </w:pPr>
            <w:r>
              <w:t xml:space="preserve">517</w:t>
            </w:r>
          </w:p>
        </w:tc>
        <w:tc>
          <w:tcPr/>
          <w:p>
            <w:pPr>
              <w:pStyle w:val="Compact"/>
              <w:jc w:val="right"/>
            </w:pPr>
            <w:r>
              <w:t xml:space="preserve">63</w:t>
            </w:r>
          </w:p>
        </w:tc>
        <w:tc>
          <w:tcPr/>
          <w:p>
            <w:pPr>
              <w:pStyle w:val="Compact"/>
              <w:jc w:val="right"/>
            </w:pPr>
            <w:r>
              <w:t xml:space="preserve">19</w:t>
            </w:r>
          </w:p>
        </w:tc>
        <w:tc>
          <w:tcPr/>
          <w:p>
            <w:pPr>
              <w:pStyle w:val="Compact"/>
              <w:jc w:val="right"/>
            </w:pPr>
            <w:r>
              <w:t xml:space="preserve">18</w:t>
            </w:r>
          </w:p>
        </w:tc>
        <w:tc>
          <w:tcPr/>
          <w:p>
            <w:pPr>
              <w:pStyle w:val="Compact"/>
              <w:jc w:val="right"/>
            </w:pPr>
            <w:r>
              <w:t xml:space="preserve">70</w:t>
            </w:r>
          </w:p>
        </w:tc>
      </w:tr>
      <w:tr>
        <w:tc>
          <w:tcPr/>
          <w:p>
            <w:pPr>
              <w:pStyle w:val="Compact"/>
            </w:pPr>
          </w:p>
        </w:tc>
        <w:tc>
          <w:tcPr/>
          <w:p>
            <w:pPr>
              <w:pStyle w:val="Compact"/>
              <w:jc w:val="left"/>
            </w:pPr>
            <w:r>
              <w:t xml:space="preserve">pH</w:t>
            </w:r>
          </w:p>
        </w:tc>
        <w:tc>
          <w:tcPr/>
          <w:p>
            <w:pPr>
              <w:pStyle w:val="Compact"/>
              <w:jc w:val="left"/>
            </w:pPr>
            <w:r>
              <w:t xml:space="preserve">8.1 (6.8, 9.1)</w:t>
            </w:r>
          </w:p>
        </w:tc>
        <w:tc>
          <w:tcPr/>
          <w:p>
            <w:pPr>
              <w:pStyle w:val="Compact"/>
              <w:jc w:val="right"/>
            </w:pPr>
            <w:r>
              <w:t xml:space="preserve">476</w:t>
            </w:r>
          </w:p>
        </w:tc>
        <w:tc>
          <w:tcPr/>
          <w:p>
            <w:pPr>
              <w:pStyle w:val="Compact"/>
              <w:jc w:val="right"/>
            </w:pPr>
            <w:r>
              <w:t xml:space="preserve">58</w:t>
            </w:r>
          </w:p>
        </w:tc>
        <w:tc>
          <w:tcPr/>
          <w:p>
            <w:pPr>
              <w:pStyle w:val="Compact"/>
              <w:jc w:val="right"/>
            </w:pPr>
            <w:r>
              <w:t xml:space="preserve">29</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30.2 (12.9, 34.6)</w:t>
            </w:r>
          </w:p>
        </w:tc>
        <w:tc>
          <w:tcPr/>
          <w:p>
            <w:pPr>
              <w:pStyle w:val="Compact"/>
              <w:jc w:val="right"/>
            </w:pPr>
            <w:r>
              <w:t xml:space="preserve">441</w:t>
            </w:r>
          </w:p>
        </w:tc>
        <w:tc>
          <w:tcPr/>
          <w:p>
            <w:pPr>
              <w:pStyle w:val="Compact"/>
              <w:jc w:val="right"/>
            </w:pPr>
            <w:r>
              <w:t xml:space="preserve">83</w:t>
            </w:r>
          </w:p>
        </w:tc>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2.4 (0.4, 9.5)</w:t>
            </w:r>
          </w:p>
        </w:tc>
        <w:tc>
          <w:tcPr/>
          <w:p>
            <w:pPr>
              <w:pStyle w:val="Compact"/>
              <w:jc w:val="right"/>
            </w:pPr>
            <w:r>
              <w:t xml:space="preserve">350</w:t>
            </w:r>
          </w:p>
        </w:tc>
        <w:tc>
          <w:tcPr/>
          <w:p>
            <w:pPr>
              <w:pStyle w:val="Compact"/>
              <w:jc w:val="right"/>
            </w:pPr>
            <w:r>
              <w:t xml:space="preserve">37</w:t>
            </w:r>
          </w:p>
        </w:tc>
        <w:tc>
          <w:tcPr/>
          <w:p>
            <w:pPr>
              <w:pStyle w:val="Compact"/>
              <w:jc w:val="right"/>
            </w:pPr>
            <w:r>
              <w:t xml:space="preserve">22</w:t>
            </w:r>
          </w:p>
        </w:tc>
        <w:tc>
          <w:tcPr/>
          <w:p>
            <w:pPr>
              <w:pStyle w:val="Compact"/>
              <w:jc w:val="right"/>
            </w:pPr>
            <w:r>
              <w:t xml:space="preserve">41</w:t>
            </w:r>
          </w:p>
        </w:tc>
        <w:tc>
          <w:tcPr/>
          <w:p>
            <w:pPr>
              <w:pStyle w:val="Compact"/>
              <w:jc w:val="right"/>
            </w:pPr>
            <w:r>
              <w:t xml:space="preserve">25</w:t>
            </w:r>
          </w:p>
        </w:tc>
      </w:tr>
      <w:tr>
        <w:tc>
          <w:tcPr/>
          <w:p>
            <w:pPr>
              <w:pStyle w:val="Compact"/>
            </w:pPr>
          </w:p>
        </w:tc>
        <w:tc>
          <w:tcPr/>
          <w:p>
            <w:pPr>
              <w:pStyle w:val="Compact"/>
              <w:jc w:val="left"/>
            </w:pPr>
            <w:r>
              <w:t xml:space="preserve">Temp (C)</w:t>
            </w:r>
          </w:p>
        </w:tc>
        <w:tc>
          <w:tcPr/>
          <w:p>
            <w:pPr>
              <w:pStyle w:val="Compact"/>
              <w:jc w:val="left"/>
            </w:pPr>
            <w:r>
              <w:t xml:space="preserve">25.5 (19.6, 32.9)</w:t>
            </w:r>
          </w:p>
        </w:tc>
        <w:tc>
          <w:tcPr/>
          <w:p>
            <w:pPr>
              <w:pStyle w:val="Compact"/>
              <w:jc w:val="right"/>
            </w:pPr>
            <w:r>
              <w:t xml:space="preserve">442</w:t>
            </w:r>
          </w:p>
        </w:tc>
        <w:tc>
          <w:tcPr/>
          <w:p>
            <w:pPr>
              <w:pStyle w:val="Compact"/>
              <w:jc w:val="right"/>
            </w:pPr>
            <w:r>
              <w:t xml:space="preserve">66</w:t>
            </w:r>
          </w:p>
        </w:tc>
        <w:tc>
          <w:tcPr/>
          <w:p>
            <w:pPr>
              <w:pStyle w:val="Compact"/>
              <w:jc w:val="right"/>
            </w:pPr>
            <w:r>
              <w:t xml:space="preserve">15</w:t>
            </w:r>
          </w:p>
        </w:tc>
        <w:tc>
          <w:tcPr/>
          <w:p>
            <w:pPr>
              <w:pStyle w:val="Compact"/>
              <w:jc w:val="right"/>
            </w:pPr>
            <w:r>
              <w:t xml:space="preserve">19</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0.41 (0.178, 5.6)</w:t>
            </w:r>
          </w:p>
        </w:tc>
        <w:tc>
          <w:tcPr/>
          <w:p>
            <w:pPr>
              <w:pStyle w:val="Compact"/>
              <w:jc w:val="right"/>
            </w:pPr>
            <w:r>
              <w:t xml:space="preserve">429</w:t>
            </w:r>
          </w:p>
        </w:tc>
        <w:tc>
          <w:tcPr/>
          <w:p>
            <w:pPr>
              <w:pStyle w:val="Compact"/>
              <w:jc w:val="right"/>
            </w:pPr>
            <w:r>
              <w:t xml:space="preserve">59</w:t>
            </w:r>
          </w:p>
        </w:tc>
        <w:tc>
          <w:tcPr/>
          <w:p>
            <w:pPr>
              <w:pStyle w:val="Compact"/>
              <w:jc w:val="right"/>
            </w:pPr>
            <w:r>
              <w:t xml:space="preserve">37</w:t>
            </w:r>
          </w:p>
        </w:tc>
        <w:tc>
          <w:tcPr/>
          <w:p>
            <w:pPr>
              <w:pStyle w:val="Compact"/>
              <w:jc w:val="right"/>
            </w:pPr>
            <w:r>
              <w:t xml:space="preserve">4</w:t>
            </w:r>
          </w:p>
        </w:tc>
        <w:tc>
          <w:tcPr/>
          <w:p>
            <w:pPr>
              <w:pStyle w:val="Compact"/>
              <w:jc w:val="right"/>
            </w:pPr>
            <w:r>
              <w:t xml:space="preserve">4</w:t>
            </w:r>
          </w:p>
        </w:tc>
      </w:tr>
      <w:tr>
        <w:tc>
          <w:tcPr/>
          <w:p>
            <w:pPr>
              <w:pStyle w:val="Compact"/>
            </w:pPr>
          </w:p>
        </w:tc>
        <w:tc>
          <w:tcPr/>
          <w:p>
            <w:pPr>
              <w:pStyle w:val="Compact"/>
              <w:jc w:val="left"/>
            </w:pPr>
            <w:r>
              <w:t xml:space="preserve">TP (mg/L)</w:t>
            </w:r>
          </w:p>
        </w:tc>
        <w:tc>
          <w:tcPr/>
          <w:p>
            <w:pPr>
              <w:pStyle w:val="Compact"/>
              <w:jc w:val="left"/>
            </w:pPr>
            <w:r>
              <w:t xml:space="preserve">0.12 (0.019, 3.9)</w:t>
            </w:r>
          </w:p>
        </w:tc>
        <w:tc>
          <w:tcPr/>
          <w:p>
            <w:pPr>
              <w:pStyle w:val="Compact"/>
              <w:jc w:val="right"/>
            </w:pPr>
            <w:r>
              <w:t xml:space="preserve">485</w:t>
            </w:r>
          </w:p>
        </w:tc>
        <w:tc>
          <w:tcPr/>
          <w:p>
            <w:pPr>
              <w:pStyle w:val="Compact"/>
              <w:jc w:val="right"/>
            </w:pPr>
            <w:r>
              <w:t xml:space="preserve">81</w:t>
            </w:r>
          </w:p>
        </w:tc>
        <w:tc>
          <w:tcPr/>
          <w:p>
            <w:pPr>
              <w:pStyle w:val="Compact"/>
              <w:jc w:val="right"/>
            </w:pPr>
            <w:r>
              <w:t xml:space="preserve">15</w:t>
            </w:r>
          </w:p>
        </w:tc>
        <w:tc>
          <w:tcPr/>
          <w:p>
            <w:pPr>
              <w:pStyle w:val="Compact"/>
              <w:jc w:val="right"/>
            </w:pPr>
            <w:r>
              <w:t xml:space="preserve">4</w:t>
            </w:r>
          </w:p>
        </w:tc>
        <w:tc>
          <w:tcPr/>
          <w:p>
            <w:pPr>
              <w:pStyle w:val="Compact"/>
              <w:jc w:val="right"/>
            </w:pPr>
            <w:r>
              <w:t xml:space="preserve">1</w:t>
            </w:r>
          </w:p>
        </w:tc>
      </w:tr>
      <w:tr>
        <w:tc>
          <w:tcPr/>
          <w:p>
            <w:pPr>
              <w:pStyle w:val="Compact"/>
              <w:jc w:val="left"/>
            </w:pPr>
            <w:r>
              <w:t xml:space="preserve">2</w:t>
            </w:r>
          </w:p>
        </w:tc>
        <w:tc>
          <w:tcPr/>
          <w:p>
            <w:pPr>
              <w:pStyle w:val="Compact"/>
              <w:jc w:val="left"/>
            </w:pPr>
            <w:r>
              <w:t xml:space="preserve">Chl-a (</w:t>
            </w:r>
            <m:oMath>
              <m:r>
                <m:t>μ</m:t>
              </m:r>
            </m:oMath>
            <w:r>
              <w:t xml:space="preserve">g/L)</w:t>
            </w:r>
          </w:p>
        </w:tc>
        <w:tc>
          <w:tcPr/>
          <w:p>
            <w:pPr>
              <w:pStyle w:val="Compact"/>
              <w:jc w:val="left"/>
            </w:pPr>
            <w:r>
              <w:t xml:space="preserve">2.7 (1.08, 42)</w:t>
            </w:r>
          </w:p>
        </w:tc>
        <w:tc>
          <w:tcPr/>
          <w:p>
            <w:pPr>
              <w:pStyle w:val="Compact"/>
              <w:jc w:val="right"/>
            </w:pPr>
            <w:r>
              <w:t xml:space="preserve">78</w:t>
            </w:r>
          </w:p>
        </w:tc>
        <w:tc>
          <w:tcPr/>
          <w:p>
            <w:pPr>
              <w:pStyle w:val="Compact"/>
              <w:jc w:val="right"/>
            </w:pPr>
            <w:r>
              <w:t xml:space="preserve">60</w:t>
            </w:r>
          </w:p>
        </w:tc>
        <w:tc>
          <w:tcPr/>
          <w:p>
            <w:pPr>
              <w:pStyle w:val="Compact"/>
              <w:jc w:val="right"/>
            </w:pPr>
            <w:r>
              <w:t xml:space="preserve">6</w:t>
            </w:r>
          </w:p>
        </w:tc>
        <w:tc>
          <w:tcPr/>
          <w:p>
            <w:pPr>
              <w:pStyle w:val="Compact"/>
              <w:jc w:val="right"/>
            </w:pPr>
            <w:r>
              <w:t xml:space="preserve">33</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95 (60.6, 153.3)</w:t>
            </w:r>
          </w:p>
        </w:tc>
        <w:tc>
          <w:tcPr/>
          <w:p>
            <w:pPr>
              <w:pStyle w:val="Compact"/>
              <w:jc w:val="right"/>
            </w:pPr>
            <w:r>
              <w:t xml:space="preserve">73</w:t>
            </w:r>
          </w:p>
        </w:tc>
        <w:tc>
          <w:tcPr/>
          <w:p>
            <w:pPr>
              <w:pStyle w:val="Compact"/>
              <w:jc w:val="right"/>
            </w:pPr>
            <w:r>
              <w:t xml:space="preserve">42</w:t>
            </w:r>
          </w:p>
        </w:tc>
        <w:tc>
          <w:tcPr/>
          <w:p>
            <w:pPr>
              <w:pStyle w:val="Compact"/>
              <w:jc w:val="right"/>
            </w:pPr>
            <w:r>
              <w:t xml:space="preserve">44</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0.004 (0.002, 0.071)</w:t>
            </w:r>
          </w:p>
        </w:tc>
        <w:tc>
          <w:tcPr/>
          <w:p>
            <w:pPr>
              <w:pStyle w:val="Compact"/>
              <w:jc w:val="right"/>
            </w:pPr>
            <w:r>
              <w:t xml:space="preserve">76</w:t>
            </w:r>
          </w:p>
        </w:tc>
        <w:tc>
          <w:tcPr/>
          <w:p>
            <w:pPr>
              <w:pStyle w:val="Compact"/>
              <w:jc w:val="right"/>
            </w:pPr>
            <w:r>
              <w:t xml:space="preserve">86</w:t>
            </w:r>
          </w:p>
        </w:tc>
        <w:tc>
          <w:tcPr/>
          <w:p>
            <w:pPr>
              <w:pStyle w:val="Compact"/>
              <w:jc w:val="right"/>
            </w:pPr>
            <w:r>
              <w:t xml:space="preserve">1</w:t>
            </w:r>
          </w:p>
        </w:tc>
        <w:tc>
          <w:tcPr/>
          <w:p>
            <w:pPr>
              <w:pStyle w:val="Compact"/>
              <w:jc w:val="right"/>
            </w:pPr>
            <w:r>
              <w:t xml:space="preserve">13</w:t>
            </w:r>
          </w:p>
        </w:tc>
        <w:tc>
          <w:tcPr/>
          <w:p>
            <w:pPr>
              <w:pStyle w:val="Compact"/>
              <w:jc w:val="right"/>
            </w:pPr>
            <w:r>
              <w:t xml:space="preserve">21</w:t>
            </w:r>
          </w:p>
        </w:tc>
      </w:tr>
      <w:tr>
        <w:tc>
          <w:tcPr/>
          <w:p>
            <w:pPr>
              <w:pStyle w:val="Compact"/>
            </w:pPr>
          </w:p>
        </w:tc>
        <w:tc>
          <w:tcPr/>
          <w:p>
            <w:pPr>
              <w:pStyle w:val="Compact"/>
              <w:jc w:val="left"/>
            </w:pPr>
            <w:r>
              <w:t xml:space="preserve">Nitrate/Nitrite (mg/L)</w:t>
            </w:r>
          </w:p>
        </w:tc>
        <w:tc>
          <w:tcPr/>
          <w:p>
            <w:pPr>
              <w:pStyle w:val="Compact"/>
              <w:jc w:val="left"/>
            </w:pPr>
            <w:r>
              <w:t xml:space="preserve">- (0.00078, 0.037)</w:t>
            </w:r>
          </w:p>
        </w:tc>
        <w:tc>
          <w:tcPr/>
          <w:p>
            <w:pPr>
              <w:pStyle w:val="Compact"/>
              <w:jc w:val="right"/>
            </w:pPr>
            <w:r>
              <w:t xml:space="preserve">87</w:t>
            </w:r>
          </w:p>
        </w:tc>
        <w:tc>
          <w:tcPr/>
          <w:p>
            <w:pPr>
              <w:pStyle w:val="Compact"/>
              <w:jc w:val="right"/>
            </w:pPr>
            <w:r>
              <w:t xml:space="preserve">63</w:t>
            </w:r>
          </w:p>
        </w:tc>
        <w:tc>
          <w:tcPr/>
          <w:p>
            <w:pPr>
              <w:pStyle w:val="Compact"/>
              <w:jc w:val="right"/>
            </w:pPr>
            <w:r>
              <w:t xml:space="preserve">18</w:t>
            </w:r>
          </w:p>
        </w:tc>
        <w:tc>
          <w:tcPr/>
          <w:p>
            <w:pPr>
              <w:pStyle w:val="Compact"/>
              <w:jc w:val="right"/>
            </w:pPr>
            <w:r>
              <w:t xml:space="preserve">18</w:t>
            </w:r>
          </w:p>
        </w:tc>
        <w:tc>
          <w:tcPr/>
          <w:p>
            <w:pPr>
              <w:pStyle w:val="Compact"/>
              <w:jc w:val="right"/>
            </w:pPr>
            <w:r>
              <w:t xml:space="preserve">79</w:t>
            </w:r>
          </w:p>
        </w:tc>
      </w:tr>
      <w:tr>
        <w:tc>
          <w:tcPr/>
          <w:p>
            <w:pPr>
              <w:pStyle w:val="Compact"/>
            </w:pPr>
          </w:p>
        </w:tc>
        <w:tc>
          <w:tcPr/>
          <w:p>
            <w:pPr>
              <w:pStyle w:val="Compact"/>
              <w:jc w:val="left"/>
            </w:pPr>
            <w:r>
              <w:t xml:space="preserve">pH</w:t>
            </w:r>
          </w:p>
        </w:tc>
        <w:tc>
          <w:tcPr/>
          <w:p>
            <w:pPr>
              <w:pStyle w:val="Compact"/>
              <w:jc w:val="left"/>
            </w:pPr>
            <w:r>
              <w:t xml:space="preserve">8 (7.3, 8.6)</w:t>
            </w:r>
          </w:p>
        </w:tc>
        <w:tc>
          <w:tcPr/>
          <w:p>
            <w:pPr>
              <w:pStyle w:val="Compact"/>
              <w:jc w:val="right"/>
            </w:pPr>
            <w:r>
              <w:t xml:space="preserve">92</w:t>
            </w:r>
          </w:p>
        </w:tc>
        <w:tc>
          <w:tcPr/>
          <w:p>
            <w:pPr>
              <w:pStyle w:val="Compact"/>
              <w:jc w:val="right"/>
            </w:pPr>
            <w:r>
              <w:t xml:space="preserve">72</w:t>
            </w:r>
          </w:p>
        </w:tc>
        <w:tc>
          <w:tcPr/>
          <w:p>
            <w:pPr>
              <w:pStyle w:val="Compact"/>
              <w:jc w:val="right"/>
            </w:pPr>
            <w:r>
              <w:t xml:space="preserve">16</w:t>
            </w:r>
          </w:p>
        </w:tc>
        <w:tc>
          <w:tcPr/>
          <w:p>
            <w:pPr>
              <w:pStyle w:val="Compact"/>
              <w:jc w:val="right"/>
            </w:pPr>
            <w:r>
              <w:t xml:space="preserve">12</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27.3 (18.1, 32.3)</w:t>
            </w:r>
          </w:p>
        </w:tc>
        <w:tc>
          <w:tcPr/>
          <w:p>
            <w:pPr>
              <w:pStyle w:val="Compact"/>
              <w:jc w:val="right"/>
            </w:pPr>
            <w:r>
              <w:t xml:space="preserve">73</w:t>
            </w:r>
          </w:p>
        </w:tc>
        <w:tc>
          <w:tcPr/>
          <w:p>
            <w:pPr>
              <w:pStyle w:val="Compact"/>
              <w:jc w:val="right"/>
            </w:pPr>
            <w:r>
              <w:t xml:space="preserve">90</w:t>
            </w:r>
          </w:p>
        </w:tc>
        <w:tc>
          <w:tcPr/>
          <w:p>
            <w:pPr>
              <w:pStyle w:val="Compact"/>
              <w:jc w:val="right"/>
            </w:pPr>
            <w:r>
              <w:t xml:space="preserve">0</w:t>
            </w:r>
          </w:p>
        </w:tc>
        <w:tc>
          <w:tcPr/>
          <w:p>
            <w:pPr>
              <w:pStyle w:val="Compact"/>
              <w:jc w:val="right"/>
            </w:pPr>
            <w:r>
              <w:t xml:space="preserve">10</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 (0.5, 3.5)</w:t>
            </w:r>
          </w:p>
        </w:tc>
        <w:tc>
          <w:tcPr/>
          <w:p>
            <w:pPr>
              <w:pStyle w:val="Compact"/>
              <w:jc w:val="right"/>
            </w:pPr>
            <w:r>
              <w:t xml:space="preserve">44</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18</w:t>
            </w:r>
          </w:p>
        </w:tc>
        <w:tc>
          <w:tcPr/>
          <w:p>
            <w:pPr>
              <w:pStyle w:val="Compact"/>
              <w:jc w:val="right"/>
            </w:pPr>
            <w:r>
              <w:t xml:space="preserve">39</w:t>
            </w:r>
          </w:p>
        </w:tc>
      </w:tr>
      <w:tr>
        <w:tc>
          <w:tcPr/>
          <w:p>
            <w:pPr>
              <w:pStyle w:val="Compact"/>
            </w:pPr>
          </w:p>
        </w:tc>
        <w:tc>
          <w:tcPr/>
          <w:p>
            <w:pPr>
              <w:pStyle w:val="Compact"/>
              <w:jc w:val="left"/>
            </w:pPr>
            <w:r>
              <w:t xml:space="preserve">Temp (C)</w:t>
            </w:r>
          </w:p>
        </w:tc>
        <w:tc>
          <w:tcPr/>
          <w:p>
            <w:pPr>
              <w:pStyle w:val="Compact"/>
              <w:jc w:val="left"/>
            </w:pPr>
            <w:r>
              <w:t xml:space="preserve">25.3 (19.9, 31.6)</w:t>
            </w:r>
          </w:p>
        </w:tc>
        <w:tc>
          <w:tcPr/>
          <w:p>
            <w:pPr>
              <w:pStyle w:val="Compact"/>
              <w:jc w:val="right"/>
            </w:pPr>
            <w:r>
              <w:t xml:space="preserve">73</w:t>
            </w:r>
          </w:p>
        </w:tc>
        <w:tc>
          <w:tcPr/>
          <w:p>
            <w:pPr>
              <w:pStyle w:val="Compact"/>
              <w:jc w:val="right"/>
            </w:pPr>
            <w:r>
              <w:t xml:space="preserve">73</w:t>
            </w:r>
          </w:p>
        </w:tc>
        <w:tc>
          <w:tcPr/>
          <w:p>
            <w:pPr>
              <w:pStyle w:val="Compact"/>
              <w:jc w:val="right"/>
            </w:pPr>
            <w:r>
              <w:t xml:space="preserve">7</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0.344 (0.068, 1.13)</w:t>
            </w:r>
          </w:p>
        </w:tc>
        <w:tc>
          <w:tcPr/>
          <w:p>
            <w:pPr>
              <w:pStyle w:val="Compact"/>
              <w:jc w:val="right"/>
            </w:pPr>
            <w:r>
              <w:t xml:space="preserve">63</w:t>
            </w:r>
          </w:p>
        </w:tc>
        <w:tc>
          <w:tcPr/>
          <w:p>
            <w:pPr>
              <w:pStyle w:val="Compact"/>
              <w:jc w:val="right"/>
            </w:pPr>
            <w:r>
              <w:t xml:space="preserve">65</w:t>
            </w:r>
          </w:p>
        </w:tc>
        <w:tc>
          <w:tcPr/>
          <w:p>
            <w:pPr>
              <w:pStyle w:val="Compact"/>
              <w:jc w:val="right"/>
            </w:pPr>
            <w:r>
              <w:t xml:space="preserve">22</w:t>
            </w:r>
          </w:p>
        </w:tc>
        <w:tc>
          <w:tcPr/>
          <w:p>
            <w:pPr>
              <w:pStyle w:val="Compact"/>
              <w:jc w:val="right"/>
            </w:pPr>
            <w:r>
              <w:t xml:space="preserve">13</w:t>
            </w:r>
          </w:p>
        </w:tc>
        <w:tc>
          <w:tcPr/>
          <w:p>
            <w:pPr>
              <w:pStyle w:val="Compact"/>
              <w:jc w:val="right"/>
            </w:pPr>
            <w:r>
              <w:t xml:space="preserve">14</w:t>
            </w:r>
          </w:p>
        </w:tc>
      </w:tr>
      <w:tr>
        <w:tc>
          <w:tcPr/>
          <w:p>
            <w:pPr>
              <w:pStyle w:val="Compact"/>
            </w:pPr>
          </w:p>
        </w:tc>
        <w:tc>
          <w:tcPr/>
          <w:p>
            <w:pPr>
              <w:pStyle w:val="Compact"/>
              <w:jc w:val="left"/>
            </w:pPr>
            <w:r>
              <w:t xml:space="preserve">TP (mg/L)</w:t>
            </w:r>
          </w:p>
        </w:tc>
        <w:tc>
          <w:tcPr/>
          <w:p>
            <w:pPr>
              <w:pStyle w:val="Compact"/>
              <w:jc w:val="left"/>
            </w:pPr>
            <w:r>
              <w:t xml:space="preserve">0.1 (0.05, 0.235)</w:t>
            </w:r>
          </w:p>
        </w:tc>
        <w:tc>
          <w:tcPr/>
          <w:p>
            <w:pPr>
              <w:pStyle w:val="Compact"/>
              <w:jc w:val="right"/>
            </w:pPr>
            <w:r>
              <w:t xml:space="preserve">67</w:t>
            </w:r>
          </w:p>
        </w:tc>
        <w:tc>
          <w:tcPr/>
          <w:p>
            <w:pPr>
              <w:pStyle w:val="Compact"/>
              <w:jc w:val="right"/>
            </w:pPr>
            <w:r>
              <w:t xml:space="preserve">60</w:t>
            </w:r>
          </w:p>
        </w:tc>
        <w:tc>
          <w:tcPr/>
          <w:p>
            <w:pPr>
              <w:pStyle w:val="Compact"/>
              <w:jc w:val="right"/>
            </w:pPr>
            <w:r>
              <w:t xml:space="preserve">12</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3</w:t>
            </w:r>
          </w:p>
        </w:tc>
        <w:tc>
          <w:tcPr/>
          <w:p>
            <w:pPr>
              <w:pStyle w:val="Compact"/>
              <w:jc w:val="left"/>
            </w:pPr>
            <w:r>
              <w:t xml:space="preserve">Chl-a (</w:t>
            </w:r>
            <m:oMath>
              <m:r>
                <m:t>μ</m:t>
              </m:r>
            </m:oMath>
            <w:r>
              <w:t xml:space="preserve">g/L)</w:t>
            </w:r>
          </w:p>
        </w:tc>
        <w:tc>
          <w:tcPr/>
          <w:p>
            <w:pPr>
              <w:pStyle w:val="Compact"/>
              <w:jc w:val="left"/>
            </w:pPr>
            <w:r>
              <w:t xml:space="preserve">2.9 (0.93, 25.9)</w:t>
            </w:r>
          </w:p>
        </w:tc>
        <w:tc>
          <w:tcPr/>
          <w:p>
            <w:pPr>
              <w:pStyle w:val="Compact"/>
              <w:jc w:val="right"/>
            </w:pPr>
            <w:r>
              <w:t xml:space="preserve">254</w:t>
            </w:r>
          </w:p>
        </w:tc>
        <w:tc>
          <w:tcPr/>
          <w:p>
            <w:pPr>
              <w:pStyle w:val="Compact"/>
              <w:jc w:val="right"/>
            </w:pPr>
            <w:r>
              <w:t xml:space="preserve">69</w:t>
            </w:r>
          </w:p>
        </w:tc>
        <w:tc>
          <w:tcPr/>
          <w:p>
            <w:pPr>
              <w:pStyle w:val="Compact"/>
              <w:jc w:val="right"/>
            </w:pPr>
            <w:r>
              <w:t xml:space="preserve">22</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98.7 (42.4, 229.9)</w:t>
            </w:r>
          </w:p>
        </w:tc>
        <w:tc>
          <w:tcPr/>
          <w:p>
            <w:pPr>
              <w:pStyle w:val="Compact"/>
              <w:jc w:val="right"/>
            </w:pPr>
            <w:r>
              <w:t xml:space="preserve">223</w:t>
            </w:r>
          </w:p>
        </w:tc>
        <w:tc>
          <w:tcPr/>
          <w:p>
            <w:pPr>
              <w:pStyle w:val="Compact"/>
              <w:jc w:val="right"/>
            </w:pPr>
            <w:r>
              <w:t xml:space="preserve">53</w:t>
            </w:r>
          </w:p>
        </w:tc>
        <w:tc>
          <w:tcPr/>
          <w:p>
            <w:pPr>
              <w:pStyle w:val="Compact"/>
              <w:jc w:val="right"/>
            </w:pPr>
            <w:r>
              <w:t xml:space="preserve">26</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0.003 (0.002, 0.041)</w:t>
            </w:r>
          </w:p>
        </w:tc>
        <w:tc>
          <w:tcPr/>
          <w:p>
            <w:pPr>
              <w:pStyle w:val="Compact"/>
              <w:jc w:val="right"/>
            </w:pPr>
            <w:r>
              <w:t xml:space="preserve">248</w:t>
            </w:r>
          </w:p>
        </w:tc>
        <w:tc>
          <w:tcPr/>
          <w:p>
            <w:pPr>
              <w:pStyle w:val="Compact"/>
              <w:jc w:val="right"/>
            </w:pPr>
            <w:r>
              <w:t xml:space="preserve">55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50</w:t>
            </w:r>
          </w:p>
        </w:tc>
      </w:tr>
      <w:tr>
        <w:tc>
          <w:tcPr/>
          <w:p>
            <w:pPr>
              <w:pStyle w:val="Compact"/>
            </w:pPr>
          </w:p>
        </w:tc>
        <w:tc>
          <w:tcPr/>
          <w:p>
            <w:pPr>
              <w:pStyle w:val="Compact"/>
              <w:jc w:val="left"/>
            </w:pPr>
            <w:r>
              <w:t xml:space="preserve">Nitrate/Nitrite (mg/L)</w:t>
            </w:r>
          </w:p>
        </w:tc>
        <w:tc>
          <w:tcPr/>
          <w:p>
            <w:pPr>
              <w:pStyle w:val="Compact"/>
              <w:jc w:val="left"/>
            </w:pPr>
            <w:r>
              <w:t xml:space="preserve">- (0.00078, 0.046)</w:t>
            </w:r>
          </w:p>
        </w:tc>
        <w:tc>
          <w:tcPr/>
          <w:p>
            <w:pPr>
              <w:pStyle w:val="Compact"/>
              <w:jc w:val="right"/>
            </w:pPr>
            <w:r>
              <w:t xml:space="preserve">267</w:t>
            </w:r>
          </w:p>
        </w:tc>
        <w:tc>
          <w:tcPr/>
          <w:p>
            <w:pPr>
              <w:pStyle w:val="Compact"/>
              <w:jc w:val="right"/>
            </w:pPr>
            <w:r>
              <w:t xml:space="preserve">60</w:t>
            </w:r>
          </w:p>
        </w:tc>
        <w:tc>
          <w:tcPr/>
          <w:p>
            <w:pPr>
              <w:pStyle w:val="Compact"/>
              <w:jc w:val="right"/>
            </w:pPr>
            <w:r>
              <w:t xml:space="preserve">9</w:t>
            </w:r>
          </w:p>
        </w:tc>
        <w:tc>
          <w:tcPr/>
          <w:p>
            <w:pPr>
              <w:pStyle w:val="Compact"/>
              <w:jc w:val="right"/>
            </w:pPr>
            <w:r>
              <w:t xml:space="preserve">31</w:t>
            </w:r>
          </w:p>
        </w:tc>
        <w:tc>
          <w:tcPr/>
          <w:p>
            <w:pPr>
              <w:pStyle w:val="Compact"/>
              <w:jc w:val="right"/>
            </w:pPr>
            <w:r>
              <w:t xml:space="preserve">89</w:t>
            </w:r>
          </w:p>
        </w:tc>
      </w:tr>
      <w:tr>
        <w:tc>
          <w:tcPr/>
          <w:p>
            <w:pPr>
              <w:pStyle w:val="Compact"/>
            </w:pPr>
          </w:p>
        </w:tc>
        <w:tc>
          <w:tcPr/>
          <w:p>
            <w:pPr>
              <w:pStyle w:val="Compact"/>
              <w:jc w:val="left"/>
            </w:pPr>
            <w:r>
              <w:t xml:space="preserve">pH</w:t>
            </w:r>
          </w:p>
        </w:tc>
        <w:tc>
          <w:tcPr/>
          <w:p>
            <w:pPr>
              <w:pStyle w:val="Compact"/>
              <w:jc w:val="left"/>
            </w:pPr>
            <w:r>
              <w:t xml:space="preserve">8.1 (6.2, 9.8)</w:t>
            </w:r>
          </w:p>
        </w:tc>
        <w:tc>
          <w:tcPr/>
          <w:p>
            <w:pPr>
              <w:pStyle w:val="Compact"/>
              <w:jc w:val="right"/>
            </w:pPr>
            <w:r>
              <w:t xml:space="preserve">245</w:t>
            </w:r>
          </w:p>
        </w:tc>
        <w:tc>
          <w:tcPr/>
          <w:p>
            <w:pPr>
              <w:pStyle w:val="Compact"/>
              <w:jc w:val="right"/>
            </w:pPr>
            <w:r>
              <w:t xml:space="preserve">70</w:t>
            </w:r>
          </w:p>
        </w:tc>
        <w:tc>
          <w:tcPr/>
          <w:p>
            <w:pPr>
              <w:pStyle w:val="Compact"/>
              <w:jc w:val="right"/>
            </w:pPr>
            <w:r>
              <w:t xml:space="preserve">21</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31.8 (1.4, 36.5)</w:t>
            </w:r>
          </w:p>
        </w:tc>
        <w:tc>
          <w:tcPr/>
          <w:p>
            <w:pPr>
              <w:pStyle w:val="Compact"/>
              <w:jc w:val="right"/>
            </w:pPr>
            <w:r>
              <w:t xml:space="preserve">294</w:t>
            </w:r>
          </w:p>
        </w:tc>
        <w:tc>
          <w:tcPr/>
          <w:p>
            <w:pPr>
              <w:pStyle w:val="Compact"/>
              <w:jc w:val="right"/>
            </w:pPr>
            <w:r>
              <w:t xml:space="preserve">81</w:t>
            </w:r>
          </w:p>
        </w:tc>
        <w:tc>
          <w:tcPr/>
          <w:p>
            <w:pPr>
              <w:pStyle w:val="Compact"/>
              <w:jc w:val="right"/>
            </w:pPr>
            <w:r>
              <w:t xml:space="preserve">8</w:t>
            </w:r>
          </w:p>
        </w:tc>
        <w:tc>
          <w:tcPr/>
          <w:p>
            <w:pPr>
              <w:pStyle w:val="Compact"/>
              <w:jc w:val="right"/>
            </w:pPr>
            <w:r>
              <w:t xml:space="preserve">11</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1.9 (0.2, 5.5)</w:t>
            </w:r>
          </w:p>
        </w:tc>
        <w:tc>
          <w:tcPr/>
          <w:p>
            <w:pPr>
              <w:pStyle w:val="Compact"/>
              <w:jc w:val="right"/>
            </w:pPr>
            <w:r>
              <w:t xml:space="preserve">225</w:t>
            </w:r>
          </w:p>
        </w:tc>
        <w:tc>
          <w:tcPr/>
          <w:p>
            <w:pPr>
              <w:pStyle w:val="Compact"/>
              <w:jc w:val="right"/>
            </w:pPr>
            <w:r>
              <w:t xml:space="preserve">46</w:t>
            </w:r>
          </w:p>
        </w:tc>
        <w:tc>
          <w:tcPr/>
          <w:p>
            <w:pPr>
              <w:pStyle w:val="Compact"/>
              <w:jc w:val="right"/>
            </w:pPr>
            <w:r>
              <w:t xml:space="preserve">17</w:t>
            </w:r>
          </w:p>
        </w:tc>
        <w:tc>
          <w:tcPr/>
          <w:p>
            <w:pPr>
              <w:pStyle w:val="Compact"/>
              <w:jc w:val="right"/>
            </w:pPr>
            <w:r>
              <w:t xml:space="preserve">36</w:t>
            </w:r>
          </w:p>
        </w:tc>
        <w:tc>
          <w:tcPr/>
          <w:p>
            <w:pPr>
              <w:pStyle w:val="Compact"/>
              <w:jc w:val="right"/>
            </w:pPr>
            <w:r>
              <w:t xml:space="preserve">11</w:t>
            </w:r>
          </w:p>
        </w:tc>
      </w:tr>
      <w:tr>
        <w:tc>
          <w:tcPr/>
          <w:p>
            <w:pPr>
              <w:pStyle w:val="Compact"/>
            </w:pPr>
          </w:p>
        </w:tc>
        <w:tc>
          <w:tcPr/>
          <w:p>
            <w:pPr>
              <w:pStyle w:val="Compact"/>
              <w:jc w:val="left"/>
            </w:pPr>
            <w:r>
              <w:t xml:space="preserve">Temp (C)</w:t>
            </w:r>
          </w:p>
        </w:tc>
        <w:tc>
          <w:tcPr/>
          <w:p>
            <w:pPr>
              <w:pStyle w:val="Compact"/>
              <w:jc w:val="left"/>
            </w:pPr>
            <w:r>
              <w:t xml:space="preserve">27 (19.6, 32.1)</w:t>
            </w:r>
          </w:p>
        </w:tc>
        <w:tc>
          <w:tcPr/>
          <w:p>
            <w:pPr>
              <w:pStyle w:val="Compact"/>
              <w:jc w:val="right"/>
            </w:pPr>
            <w:r>
              <w:t xml:space="preserve">294</w:t>
            </w:r>
          </w:p>
        </w:tc>
        <w:tc>
          <w:tcPr/>
          <w:p>
            <w:pPr>
              <w:pStyle w:val="Compact"/>
              <w:jc w:val="right"/>
            </w:pPr>
            <w:r>
              <w:t xml:space="preserve">64</w:t>
            </w:r>
          </w:p>
        </w:tc>
        <w:tc>
          <w:tcPr/>
          <w:p>
            <w:pPr>
              <w:pStyle w:val="Compact"/>
              <w:jc w:val="right"/>
            </w:pPr>
            <w:r>
              <w:t xml:space="preserve">13</w:t>
            </w:r>
          </w:p>
        </w:tc>
        <w:tc>
          <w:tcPr/>
          <w:p>
            <w:pPr>
              <w:pStyle w:val="Compact"/>
              <w:jc w:val="right"/>
            </w:pPr>
            <w:r>
              <w:t xml:space="preserve">24</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0.33 (0.152, 1.78)</w:t>
            </w:r>
          </w:p>
        </w:tc>
        <w:tc>
          <w:tcPr/>
          <w:p>
            <w:pPr>
              <w:pStyle w:val="Compact"/>
              <w:jc w:val="right"/>
            </w:pPr>
            <w:r>
              <w:t xml:space="preserve">249</w:t>
            </w:r>
          </w:p>
        </w:tc>
        <w:tc>
          <w:tcPr/>
          <w:p>
            <w:pPr>
              <w:pStyle w:val="Compact"/>
              <w:jc w:val="right"/>
            </w:pPr>
            <w:r>
              <w:t xml:space="preserve">73</w:t>
            </w:r>
          </w:p>
        </w:tc>
        <w:tc>
          <w:tcPr/>
          <w:p>
            <w:pPr>
              <w:pStyle w:val="Compact"/>
              <w:jc w:val="right"/>
            </w:pPr>
            <w:r>
              <w:t xml:space="preserve">22</w:t>
            </w:r>
          </w:p>
        </w:tc>
        <w:tc>
          <w:tcPr/>
          <w:p>
            <w:pPr>
              <w:pStyle w:val="Compact"/>
              <w:jc w:val="right"/>
            </w:pPr>
            <w:r>
              <w:t xml:space="preserve">5</w:t>
            </w:r>
          </w:p>
        </w:tc>
        <w:tc>
          <w:tcPr/>
          <w:p>
            <w:pPr>
              <w:pStyle w:val="Compact"/>
              <w:jc w:val="right"/>
            </w:pPr>
            <w:r>
              <w:t xml:space="preserve">10</w:t>
            </w:r>
          </w:p>
        </w:tc>
      </w:tr>
      <w:tr>
        <w:tc>
          <w:tcPr/>
          <w:p>
            <w:pPr>
              <w:pStyle w:val="Compact"/>
            </w:pPr>
          </w:p>
        </w:tc>
        <w:tc>
          <w:tcPr/>
          <w:p>
            <w:pPr>
              <w:pStyle w:val="Compact"/>
              <w:jc w:val="left"/>
            </w:pPr>
            <w:r>
              <w:t xml:space="preserve">TP (mg/L)</w:t>
            </w:r>
          </w:p>
        </w:tc>
        <w:tc>
          <w:tcPr/>
          <w:p>
            <w:pPr>
              <w:pStyle w:val="Compact"/>
              <w:jc w:val="left"/>
            </w:pPr>
            <w:r>
              <w:t xml:space="preserve">0.06 (0.019, 0.589)</w:t>
            </w:r>
          </w:p>
        </w:tc>
        <w:tc>
          <w:tcPr/>
          <w:p>
            <w:pPr>
              <w:pStyle w:val="Compact"/>
              <w:jc w:val="right"/>
            </w:pPr>
            <w:r>
              <w:t xml:space="preserve">256</w:t>
            </w:r>
          </w:p>
        </w:tc>
        <w:tc>
          <w:tcPr/>
          <w:p>
            <w:pPr>
              <w:pStyle w:val="Compact"/>
              <w:jc w:val="right"/>
            </w:pPr>
            <w:r>
              <w:t xml:space="preserve">78</w:t>
            </w:r>
          </w:p>
        </w:tc>
        <w:tc>
          <w:tcPr/>
          <w:p>
            <w:pPr>
              <w:pStyle w:val="Compact"/>
              <w:jc w:val="right"/>
            </w:pPr>
            <w:r>
              <w:t xml:space="preserve">11</w:t>
            </w:r>
          </w:p>
        </w:tc>
        <w:tc>
          <w:tcPr/>
          <w:p>
            <w:pPr>
              <w:pStyle w:val="Compact"/>
              <w:jc w:val="right"/>
            </w:pPr>
            <w:r>
              <w:t xml:space="preserve">12</w:t>
            </w:r>
          </w:p>
        </w:tc>
        <w:tc>
          <w:tcPr/>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
        <w:tblLook w:firstRow="1" w:lastRow="0" w:firstColumn="0" w:lastColumn="0" w:noHBand="0" w:noVBand="0" w:val="0020"/>
        <w:tblCaption w:val="Table 3: Comparison of total nitrogen, chlorophyll-a, and Secchi depth by areas of interest (Figure 1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Chi-Sq.</w:t>
            </w:r>
          </w:p>
        </w:tc>
        <w:tc>
          <w:tcPr/>
          <w:p>
            <w:pPr>
              <w:pStyle w:val="Compact"/>
              <w:jc w:val="left"/>
            </w:pPr>
            <w:r>
              <w:t xml:space="preserve">Comp.</w:t>
            </w:r>
          </w:p>
        </w:tc>
        <w:tc>
          <w:tcPr/>
          <w:p>
            <w:pPr>
              <w:pStyle w:val="Compact"/>
              <w:jc w:val="left"/>
            </w:pPr>
            <w:r>
              <w:t xml:space="preserve">Month</w:t>
            </w:r>
          </w:p>
        </w:tc>
        <w:tc>
          <w:tcPr/>
          <w:p>
            <w:pPr>
              <w:pStyle w:val="Compact"/>
              <w:jc w:val="right"/>
            </w:pPr>
            <w:r>
              <w:t xml:space="preserve">N obs.</w:t>
            </w:r>
          </w:p>
        </w:tc>
        <w:tc>
          <w:tcPr/>
          <w:p>
            <w:pPr>
              <w:pStyle w:val="Compact"/>
              <w:jc w:val="right"/>
            </w:pPr>
            <w:r>
              <w:t xml:space="preserve">Observed median</w:t>
            </w:r>
          </w:p>
        </w:tc>
        <w:tc>
          <w:tcPr/>
          <w:p>
            <w:pPr>
              <w:pStyle w:val="Compact"/>
              <w:jc w:val="right"/>
            </w:pPr>
            <w:r>
              <w:t xml:space="preserve">Seasonally-corrected median</w:t>
            </w:r>
          </w:p>
        </w:tc>
      </w:tr>
      <w:tr>
        <w:tc>
          <w:tcPr/>
          <w:p>
            <w:pPr>
              <w:pStyle w:val="Compact"/>
              <w:jc w:val="left"/>
            </w:pPr>
            <w:r>
              <w:t xml:space="preserve">1</w:t>
            </w:r>
          </w:p>
        </w:tc>
        <w:tc>
          <w:tcPr/>
          <w:p>
            <w:pPr>
              <w:pStyle w:val="Compact"/>
              <w:jc w:val="left"/>
            </w:pPr>
            <w:r>
              <w:t xml:space="preserve">TN (mg/L)</w:t>
            </w:r>
          </w:p>
        </w:tc>
        <w:tc>
          <w:tcPr/>
          <w:p>
            <w:pPr>
              <w:pStyle w:val="Compact"/>
              <w:jc w:val="left"/>
            </w:pPr>
            <w:r>
              <w:t xml:space="preserve">25.01**</w:t>
            </w:r>
          </w:p>
        </w:tc>
        <w:tc>
          <w:tcPr/>
          <w:p>
            <w:pPr>
              <w:pStyle w:val="Compact"/>
              <w:jc w:val="left"/>
            </w:pPr>
            <w:r>
              <w:t xml:space="preserve">a</w:t>
            </w:r>
          </w:p>
        </w:tc>
        <w:tc>
          <w:tcPr/>
          <w:p>
            <w:pPr>
              <w:pStyle w:val="Compact"/>
              <w:jc w:val="left"/>
            </w:pPr>
            <w:r>
              <w:t xml:space="preserve">Apr</w:t>
            </w:r>
          </w:p>
        </w:tc>
        <w:tc>
          <w:tcPr/>
          <w:p>
            <w:pPr>
              <w:pStyle w:val="Compact"/>
              <w:jc w:val="right"/>
            </w:pPr>
            <w:r>
              <w:t xml:space="preserve">135</w:t>
            </w:r>
          </w:p>
        </w:tc>
        <w:tc>
          <w:tcPr/>
          <w:p>
            <w:pPr>
              <w:pStyle w:val="Compact"/>
              <w:jc w:val="right"/>
            </w:pPr>
            <w:r>
              <w:t xml:space="preserve">0.390</w:t>
            </w:r>
          </w:p>
        </w:tc>
        <w:tc>
          <w:tcPr/>
          <w:p>
            <w:pPr>
              <w:pStyle w:val="Compact"/>
              <w:jc w:val="right"/>
            </w:pPr>
            <w:r>
              <w:t xml:space="preserve">0.008</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0.360</w:t>
            </w:r>
          </w:p>
        </w:tc>
        <w:tc>
          <w:tcPr/>
          <w:p>
            <w:pPr>
              <w:pStyle w:val="Compact"/>
              <w:jc w:val="right"/>
            </w:pPr>
            <w:r>
              <w:t xml:space="preserve">0.110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0.430</w:t>
            </w:r>
          </w:p>
        </w:tc>
        <w:tc>
          <w:tcPr/>
          <w:p>
            <w:pPr>
              <w:pStyle w:val="Compact"/>
              <w:jc w:val="right"/>
            </w:pPr>
            <w:r>
              <w:t xml:space="preserve">0.112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0.520</w:t>
            </w:r>
          </w:p>
        </w:tc>
        <w:tc>
          <w:tcPr/>
          <w:p>
            <w:pPr>
              <w:pStyle w:val="Compact"/>
              <w:jc w:val="right"/>
            </w:pPr>
            <w:r>
              <w:t xml:space="preserve">0.178</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25</w:t>
            </w:r>
          </w:p>
        </w:tc>
        <w:tc>
          <w:tcPr/>
          <w:p>
            <w:pPr>
              <w:pStyle w:val="Compact"/>
              <w:jc w:val="right"/>
            </w:pPr>
            <w:r>
              <w:t xml:space="preserve">0.470</w:t>
            </w:r>
          </w:p>
        </w:tc>
        <w:tc>
          <w:tcPr/>
          <w:p>
            <w:pPr>
              <w:pStyle w:val="Compact"/>
              <w:jc w:val="right"/>
            </w:pPr>
            <w:r>
              <w:t xml:space="preserve">0.065</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8</w:t>
            </w:r>
          </w:p>
        </w:tc>
        <w:tc>
          <w:tcPr/>
          <w:p>
            <w:pPr>
              <w:pStyle w:val="Compact"/>
              <w:jc w:val="right"/>
            </w:pPr>
            <w:r>
              <w:t xml:space="preserve">0.390</w:t>
            </w:r>
          </w:p>
        </w:tc>
        <w:tc>
          <w:tcPr/>
          <w:p>
            <w:pPr>
              <w:pStyle w:val="Compact"/>
              <w:jc w:val="right"/>
            </w:pPr>
            <w:r>
              <w:t xml:space="preserve">0.075</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61.84**</w:t>
            </w:r>
          </w:p>
        </w:tc>
        <w:tc>
          <w:tcPr/>
          <w:p>
            <w:pPr>
              <w:pStyle w:val="Compact"/>
              <w:jc w:val="left"/>
            </w:pPr>
            <w:r>
              <w:t xml:space="preserve">a</w:t>
            </w:r>
          </w:p>
        </w:tc>
        <w:tc>
          <w:tcPr/>
          <w:p>
            <w:pPr>
              <w:pStyle w:val="Compact"/>
              <w:jc w:val="left"/>
            </w:pPr>
            <w:r>
              <w:t xml:space="preserve">Apr</w:t>
            </w:r>
          </w:p>
        </w:tc>
        <w:tc>
          <w:tcPr/>
          <w:p>
            <w:pPr>
              <w:pStyle w:val="Compact"/>
              <w:jc w:val="right"/>
            </w:pPr>
            <w:r>
              <w:t xml:space="preserve">144</w:t>
            </w:r>
          </w:p>
        </w:tc>
        <w:tc>
          <w:tcPr/>
          <w:p>
            <w:pPr>
              <w:pStyle w:val="Compact"/>
              <w:jc w:val="right"/>
            </w:pPr>
            <w:r>
              <w:t xml:space="preserve">3.300</w:t>
            </w:r>
          </w:p>
        </w:tc>
        <w:tc>
          <w:tcPr/>
          <w:p>
            <w:pPr>
              <w:pStyle w:val="Compact"/>
              <w:jc w:val="right"/>
            </w:pPr>
            <w:r>
              <w:t xml:space="preserve">1.010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2.400</w:t>
            </w:r>
          </w:p>
        </w:tc>
        <w:tc>
          <w:tcPr/>
          <w:p>
            <w:pPr>
              <w:pStyle w:val="Compact"/>
              <w:jc w:val="right"/>
            </w:pPr>
            <w:r>
              <w:t xml:space="preserve">-0.870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6.600</w:t>
            </w:r>
          </w:p>
        </w:tc>
        <w:tc>
          <w:tcPr/>
          <w:p>
            <w:pPr>
              <w:pStyle w:val="Compact"/>
              <w:jc w:val="right"/>
            </w:pPr>
            <w:r>
              <w:t xml:space="preserve">1.960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5.600</w:t>
            </w:r>
          </w:p>
        </w:tc>
        <w:tc>
          <w:tcPr/>
          <w:p>
            <w:pPr>
              <w:pStyle w:val="Compact"/>
              <w:jc w:val="right"/>
            </w:pPr>
            <w:r>
              <w:t xml:space="preserve">0.310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27</w:t>
            </w:r>
          </w:p>
        </w:tc>
        <w:tc>
          <w:tcPr/>
          <w:p>
            <w:pPr>
              <w:pStyle w:val="Compact"/>
              <w:jc w:val="right"/>
            </w:pPr>
            <w:r>
              <w:t xml:space="preserve">3.300</w:t>
            </w:r>
          </w:p>
        </w:tc>
        <w:tc>
          <w:tcPr/>
          <w:p>
            <w:pPr>
              <w:pStyle w:val="Compact"/>
              <w:jc w:val="right"/>
            </w:pPr>
            <w:r>
              <w:t xml:space="preserve">-3.590</w:t>
            </w:r>
          </w:p>
        </w:tc>
      </w:tr>
      <w:tr>
        <w:tc>
          <w:tcPr/>
          <w:p>
            <w:pPr>
              <w:pStyle w:val="Compact"/>
            </w:pPr>
          </w:p>
        </w:tc>
        <w:tc>
          <w:tcPr/>
          <w:p>
            <w:pPr>
              <w:pStyle w:val="Compact"/>
              <w:jc w:val="left"/>
            </w:pPr>
            <w:r>
              <w:t xml:space="preserve">Secchi (m)</w:t>
            </w:r>
          </w:p>
        </w:tc>
        <w:tc>
          <w:tcPr/>
          <w:p>
            <w:pPr>
              <w:pStyle w:val="Compact"/>
              <w:jc w:val="left"/>
            </w:pPr>
            <w:r>
              <w:t xml:space="preserve">47.47**</w:t>
            </w:r>
          </w:p>
        </w:tc>
        <w:tc>
          <w:tcPr/>
          <w:p>
            <w:pPr>
              <w:pStyle w:val="Compact"/>
              <w:jc w:val="left"/>
            </w:pPr>
            <w:r>
              <w:t xml:space="preserve">a</w:t>
            </w:r>
          </w:p>
        </w:tc>
        <w:tc>
          <w:tcPr/>
          <w:p>
            <w:pPr>
              <w:pStyle w:val="Compact"/>
              <w:jc w:val="left"/>
            </w:pPr>
            <w:r>
              <w:t xml:space="preserve">Apr</w:t>
            </w:r>
          </w:p>
        </w:tc>
        <w:tc>
          <w:tcPr/>
          <w:p>
            <w:pPr>
              <w:pStyle w:val="Compact"/>
              <w:jc w:val="right"/>
            </w:pPr>
            <w:r>
              <w:t xml:space="preserve">118</w:t>
            </w:r>
          </w:p>
        </w:tc>
        <w:tc>
          <w:tcPr/>
          <w:p>
            <w:pPr>
              <w:pStyle w:val="Compact"/>
              <w:jc w:val="right"/>
            </w:pPr>
            <w:r>
              <w:t xml:space="preserve">2.900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28</w:t>
            </w:r>
          </w:p>
        </w:tc>
        <w:tc>
          <w:tcPr/>
          <w:p>
            <w:pPr>
              <w:pStyle w:val="Compact"/>
              <w:jc w:val="right"/>
            </w:pPr>
            <w:r>
              <w:t xml:space="preserve">3.000</w:t>
            </w:r>
          </w:p>
        </w:tc>
        <w:tc>
          <w:tcPr/>
          <w:p>
            <w:pPr>
              <w:pStyle w:val="Compact"/>
              <w:jc w:val="right"/>
            </w:pPr>
            <w:r>
              <w:t xml:space="preserve">-0.600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34</w:t>
            </w:r>
          </w:p>
        </w:tc>
        <w:tc>
          <w:tcPr/>
          <w:p>
            <w:pPr>
              <w:pStyle w:val="Compact"/>
              <w:jc w:val="right"/>
            </w:pPr>
            <w:r>
              <w:t xml:space="preserve">2.000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18</w:t>
            </w:r>
          </w:p>
        </w:tc>
        <w:tc>
          <w:tcPr/>
          <w:p>
            <w:pPr>
              <w:pStyle w:val="Compact"/>
              <w:jc w:val="right"/>
            </w:pPr>
            <w:r>
              <w:t xml:space="preserve">2.000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15</w:t>
            </w:r>
          </w:p>
        </w:tc>
        <w:tc>
          <w:tcPr/>
          <w:p>
            <w:pPr>
              <w:pStyle w:val="Compact"/>
              <w:jc w:val="right"/>
            </w:pPr>
            <w:r>
              <w:t xml:space="preserve">3.500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Sep</w:t>
            </w:r>
          </w:p>
        </w:tc>
        <w:tc>
          <w:tcPr/>
          <w:p>
            <w:pPr>
              <w:pStyle w:val="Compact"/>
              <w:jc w:val="right"/>
            </w:pPr>
            <w:r>
              <w:t xml:space="preserve">12</w:t>
            </w:r>
          </w:p>
        </w:tc>
        <w:tc>
          <w:tcPr/>
          <w:p>
            <w:pPr>
              <w:pStyle w:val="Compact"/>
              <w:jc w:val="right"/>
            </w:pPr>
            <w:r>
              <w:t xml:space="preserve">3.600</w:t>
            </w:r>
          </w:p>
        </w:tc>
        <w:tc>
          <w:tcPr/>
          <w:p>
            <w:pPr>
              <w:pStyle w:val="Compact"/>
              <w:jc w:val="right"/>
            </w:pPr>
            <w:r>
              <w:t xml:space="preserve">0.900</w:t>
            </w:r>
          </w:p>
        </w:tc>
      </w:tr>
      <w:tr>
        <w:tc>
          <w:tcPr/>
          <w:p>
            <w:pPr>
              <w:pStyle w:val="Compact"/>
              <w:jc w:val="left"/>
            </w:pPr>
            <w:r>
              <w:t xml:space="preserve">2</w:t>
            </w:r>
          </w:p>
        </w:tc>
        <w:tc>
          <w:tcPr/>
          <w:p>
            <w:pPr>
              <w:pStyle w:val="Compact"/>
              <w:jc w:val="left"/>
            </w:pPr>
            <w:r>
              <w:t xml:space="preserve">TN (mg/L)</w:t>
            </w:r>
          </w:p>
        </w:tc>
        <w:tc>
          <w:tcPr/>
          <w:p>
            <w:pPr>
              <w:pStyle w:val="Compact"/>
              <w:jc w:val="left"/>
            </w:pPr>
            <w:r>
              <w:t xml:space="preserve">20.85**</w:t>
            </w:r>
          </w:p>
        </w:tc>
        <w:tc>
          <w:tcPr/>
          <w:p>
            <w:pPr>
              <w:pStyle w:val="Compact"/>
              <w:jc w:val="left"/>
            </w:pPr>
            <w:r>
              <w:t xml:space="preserve">a</w:t>
            </w:r>
          </w:p>
        </w:tc>
        <w:tc>
          <w:tcPr/>
          <w:p>
            <w:pPr>
              <w:pStyle w:val="Compact"/>
              <w:jc w:val="left"/>
            </w:pPr>
            <w:r>
              <w:t xml:space="preserve">Apr</w:t>
            </w:r>
          </w:p>
        </w:tc>
        <w:tc>
          <w:tcPr/>
          <w:p>
            <w:pPr>
              <w:pStyle w:val="Compact"/>
              <w:jc w:val="right"/>
            </w:pPr>
            <w:r>
              <w:t xml:space="preserve">18</w:t>
            </w:r>
          </w:p>
        </w:tc>
        <w:tc>
          <w:tcPr/>
          <w:p>
            <w:pPr>
              <w:pStyle w:val="Compact"/>
              <w:jc w:val="right"/>
            </w:pPr>
            <w:r>
              <w:t xml:space="preserve">0.390</w:t>
            </w:r>
          </w:p>
        </w:tc>
        <w:tc>
          <w:tcPr/>
          <w:p>
            <w:pPr>
              <w:pStyle w:val="Compact"/>
              <w:jc w:val="right"/>
            </w:pPr>
            <w:r>
              <w:t xml:space="preserve">-0.002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4</w:t>
            </w:r>
          </w:p>
        </w:tc>
        <w:tc>
          <w:tcPr/>
          <w:p>
            <w:pPr>
              <w:pStyle w:val="Compact"/>
              <w:jc w:val="right"/>
            </w:pPr>
            <w:r>
              <w:t xml:space="preserve">0.390</w:t>
            </w:r>
          </w:p>
        </w:tc>
        <w:tc>
          <w:tcPr/>
          <w:p>
            <w:pPr>
              <w:pStyle w:val="Compact"/>
              <w:jc w:val="right"/>
            </w:pPr>
            <w:r>
              <w:t xml:space="preserve">0.160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w:t>
            </w:r>
          </w:p>
        </w:tc>
        <w:tc>
          <w:tcPr/>
          <w:p>
            <w:pPr>
              <w:pStyle w:val="Compact"/>
              <w:jc w:val="right"/>
            </w:pPr>
            <w:r>
              <w:t xml:space="preserve">0.500</w:t>
            </w:r>
          </w:p>
        </w:tc>
        <w:tc>
          <w:tcPr/>
          <w:p>
            <w:pPr>
              <w:pStyle w:val="Compact"/>
              <w:jc w:val="right"/>
            </w:pPr>
            <w:r>
              <w:t xml:space="preserve">0.113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3</w:t>
            </w:r>
          </w:p>
        </w:tc>
        <w:tc>
          <w:tcPr/>
          <w:p>
            <w:pPr>
              <w:pStyle w:val="Compact"/>
              <w:jc w:val="right"/>
            </w:pPr>
            <w:r>
              <w:t xml:space="preserve">0.510</w:t>
            </w:r>
          </w:p>
        </w:tc>
        <w:tc>
          <w:tcPr/>
          <w:p>
            <w:pPr>
              <w:pStyle w:val="Compact"/>
              <w:jc w:val="right"/>
            </w:pPr>
            <w:r>
              <w:t xml:space="preserve">0.097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3</w:t>
            </w:r>
          </w:p>
        </w:tc>
        <w:tc>
          <w:tcPr/>
          <w:p>
            <w:pPr>
              <w:pStyle w:val="Compact"/>
              <w:jc w:val="right"/>
            </w:pPr>
            <w:r>
              <w:t xml:space="preserve">0.540</w:t>
            </w:r>
          </w:p>
        </w:tc>
        <w:tc>
          <w:tcPr/>
          <w:p>
            <w:pPr>
              <w:pStyle w:val="Compact"/>
              <w:jc w:val="right"/>
            </w:pPr>
            <w:r>
              <w:t xml:space="preserve">0.174</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w:t>
            </w:r>
          </w:p>
        </w:tc>
        <w:tc>
          <w:tcPr/>
          <w:p>
            <w:pPr>
              <w:pStyle w:val="Compact"/>
              <w:jc w:val="right"/>
            </w:pPr>
            <w:r>
              <w:t xml:space="preserve">0.570</w:t>
            </w:r>
          </w:p>
        </w:tc>
        <w:tc>
          <w:tcPr/>
          <w:p>
            <w:pPr>
              <w:pStyle w:val="Compact"/>
              <w:jc w:val="right"/>
            </w:pPr>
            <w:r>
              <w:t xml:space="preserve">0.049</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10.76*</w:t>
            </w:r>
          </w:p>
        </w:tc>
        <w:tc>
          <w:tcPr/>
          <w:p>
            <w:pPr>
              <w:pStyle w:val="Compact"/>
              <w:jc w:val="left"/>
            </w:pPr>
            <w:r>
              <w:t xml:space="preserve">a</w:t>
            </w:r>
          </w:p>
        </w:tc>
        <w:tc>
          <w:tcPr/>
          <w:p>
            <w:pPr>
              <w:pStyle w:val="Compact"/>
              <w:jc w:val="left"/>
            </w:pPr>
            <w:r>
              <w:t xml:space="preserve">Apr</w:t>
            </w:r>
          </w:p>
        </w:tc>
        <w:tc>
          <w:tcPr/>
          <w:p>
            <w:pPr>
              <w:pStyle w:val="Compact"/>
              <w:jc w:val="right"/>
            </w:pPr>
            <w:r>
              <w:t xml:space="preserve">22</w:t>
            </w:r>
          </w:p>
        </w:tc>
        <w:tc>
          <w:tcPr/>
          <w:p>
            <w:pPr>
              <w:pStyle w:val="Compact"/>
              <w:jc w:val="right"/>
            </w:pPr>
            <w:r>
              <w:t xml:space="preserve">2.500</w:t>
            </w:r>
          </w:p>
        </w:tc>
        <w:tc>
          <w:tcPr/>
          <w:p>
            <w:pPr>
              <w:pStyle w:val="Compact"/>
              <w:jc w:val="right"/>
            </w:pPr>
            <w:r>
              <w:t xml:space="preserve">-1.390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4</w:t>
            </w:r>
          </w:p>
        </w:tc>
        <w:tc>
          <w:tcPr/>
          <w:p>
            <w:pPr>
              <w:pStyle w:val="Compact"/>
              <w:jc w:val="right"/>
            </w:pPr>
            <w:r>
              <w:t xml:space="preserve">2.150</w:t>
            </w:r>
          </w:p>
        </w:tc>
        <w:tc>
          <w:tcPr/>
          <w:p>
            <w:pPr>
              <w:pStyle w:val="Compact"/>
              <w:jc w:val="right"/>
            </w:pPr>
            <w:r>
              <w:t xml:space="preserve">-2.590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4</w:t>
            </w:r>
          </w:p>
        </w:tc>
        <w:tc>
          <w:tcPr/>
          <w:p>
            <w:pPr>
              <w:pStyle w:val="Compact"/>
              <w:jc w:val="right"/>
            </w:pPr>
            <w:r>
              <w:t xml:space="preserve">6.000</w:t>
            </w:r>
          </w:p>
        </w:tc>
        <w:tc>
          <w:tcPr/>
          <w:p>
            <w:pPr>
              <w:pStyle w:val="Compact"/>
              <w:jc w:val="right"/>
            </w:pPr>
            <w:r>
              <w:t xml:space="preserve">-1.050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3</w:t>
            </w:r>
          </w:p>
        </w:tc>
        <w:tc>
          <w:tcPr/>
          <w:p>
            <w:pPr>
              <w:pStyle w:val="Compact"/>
              <w:jc w:val="right"/>
            </w:pPr>
            <w:r>
              <w:t xml:space="preserve">7.200</w:t>
            </w:r>
          </w:p>
        </w:tc>
        <w:tc>
          <w:tcPr/>
          <w:p>
            <w:pPr>
              <w:pStyle w:val="Compact"/>
              <w:jc w:val="right"/>
            </w:pPr>
            <w:r>
              <w:t xml:space="preserve">-0.940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5.200</w:t>
            </w:r>
          </w:p>
        </w:tc>
        <w:tc>
          <w:tcPr/>
          <w:p>
            <w:pPr>
              <w:pStyle w:val="Compact"/>
              <w:jc w:val="right"/>
            </w:pPr>
            <w:r>
              <w:t xml:space="preserve">-4.940</w:t>
            </w:r>
          </w:p>
        </w:tc>
      </w:tr>
      <w:tr>
        <w:tc>
          <w:tcPr/>
          <w:p>
            <w:pPr>
              <w:pStyle w:val="Compact"/>
            </w:pPr>
          </w:p>
        </w:tc>
        <w:tc>
          <w:tcPr/>
          <w:p>
            <w:pPr>
              <w:pStyle w:val="Compact"/>
              <w:jc w:val="left"/>
            </w:pPr>
            <w:r>
              <w:t xml:space="preserve">Secchi (m)</w:t>
            </w:r>
          </w:p>
        </w:tc>
        <w:tc>
          <w:tcPr/>
          <w:p>
            <w:pPr>
              <w:pStyle w:val="Compact"/>
              <w:jc w:val="left"/>
            </w:pPr>
            <w:r>
              <w:t xml:space="preserve">3.82</w:t>
            </w:r>
          </w:p>
        </w:tc>
        <w:tc>
          <w:tcPr/>
          <w:p>
            <w:pPr>
              <w:pStyle w:val="Compact"/>
              <w:jc w:val="left"/>
            </w:pPr>
            <w:r>
              <w:t xml:space="preserve">a</w:t>
            </w:r>
          </w:p>
        </w:tc>
        <w:tc>
          <w:tcPr/>
          <w:p>
            <w:pPr>
              <w:pStyle w:val="Compact"/>
              <w:jc w:val="left"/>
            </w:pPr>
            <w:r>
              <w:t xml:space="preserve">Apr</w:t>
            </w:r>
          </w:p>
        </w:tc>
        <w:tc>
          <w:tcPr/>
          <w:p>
            <w:pPr>
              <w:pStyle w:val="Compact"/>
              <w:jc w:val="right"/>
            </w:pPr>
            <w:r>
              <w:t xml:space="preserve">17</w:t>
            </w:r>
          </w:p>
        </w:tc>
        <w:tc>
          <w:tcPr/>
          <w:p>
            <w:pPr>
              <w:pStyle w:val="Compact"/>
              <w:jc w:val="right"/>
            </w:pPr>
            <w:r>
              <w:t xml:space="preserve">2.000</w:t>
            </w:r>
          </w:p>
        </w:tc>
        <w:tc>
          <w:tcPr/>
          <w:p>
            <w:pPr>
              <w:pStyle w:val="Compact"/>
              <w:jc w:val="right"/>
            </w:pPr>
            <w:r>
              <w:t xml:space="preserve">0.200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w:t>
            </w:r>
          </w:p>
        </w:tc>
        <w:tc>
          <w:tcPr/>
          <w:p>
            <w:pPr>
              <w:pStyle w:val="Compact"/>
              <w:jc w:val="right"/>
            </w:pPr>
            <w:r>
              <w:t xml:space="preserve">2.000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w:t>
            </w:r>
          </w:p>
        </w:tc>
        <w:tc>
          <w:tcPr/>
          <w:p>
            <w:pPr>
              <w:pStyle w:val="Compact"/>
              <w:jc w:val="right"/>
            </w:pPr>
            <w:r>
              <w:t xml:space="preserve">2.100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w:t>
            </w:r>
          </w:p>
        </w:tc>
        <w:tc>
          <w:tcPr/>
          <w:p>
            <w:pPr>
              <w:pStyle w:val="Compact"/>
              <w:jc w:val="right"/>
            </w:pPr>
            <w:r>
              <w:t xml:space="preserve">1.400</w:t>
            </w:r>
          </w:p>
        </w:tc>
        <w:tc>
          <w:tcPr/>
          <w:p>
            <w:pPr>
              <w:pStyle w:val="Compact"/>
              <w:jc w:val="right"/>
            </w:pPr>
            <w:r>
              <w:t xml:space="preserve">-0.100</w:t>
            </w:r>
          </w:p>
        </w:tc>
      </w:tr>
      <w:tr>
        <w:tc>
          <w:tcPr/>
          <w:p>
            <w:pPr>
              <w:pStyle w:val="Compact"/>
              <w:jc w:val="left"/>
            </w:pPr>
            <w:r>
              <w:t xml:space="preserve">3</w:t>
            </w:r>
          </w:p>
        </w:tc>
        <w:tc>
          <w:tcPr/>
          <w:p>
            <w:pPr>
              <w:pStyle w:val="Compact"/>
              <w:jc w:val="left"/>
            </w:pPr>
            <w:r>
              <w:t xml:space="preserve">TN (mg/L)</w:t>
            </w:r>
          </w:p>
        </w:tc>
        <w:tc>
          <w:tcPr/>
          <w:p>
            <w:pPr>
              <w:pStyle w:val="Compact"/>
              <w:jc w:val="left"/>
            </w:pPr>
            <w:r>
              <w:t xml:space="preserve">22.13**</w:t>
            </w:r>
          </w:p>
        </w:tc>
        <w:tc>
          <w:tcPr/>
          <w:p>
            <w:pPr>
              <w:pStyle w:val="Compact"/>
              <w:jc w:val="left"/>
            </w:pPr>
            <w:r>
              <w:t xml:space="preserve">a</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0.330</w:t>
            </w:r>
          </w:p>
        </w:tc>
        <w:tc>
          <w:tcPr/>
          <w:p>
            <w:pPr>
              <w:pStyle w:val="Compact"/>
              <w:jc w:val="right"/>
            </w:pPr>
            <w:r>
              <w:t xml:space="preserve">-0.010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0.335</w:t>
            </w:r>
          </w:p>
        </w:tc>
        <w:tc>
          <w:tcPr/>
          <w:p>
            <w:pPr>
              <w:pStyle w:val="Compact"/>
              <w:jc w:val="right"/>
            </w:pPr>
            <w:r>
              <w:t xml:space="preserve">0.079</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10</w:t>
            </w:r>
          </w:p>
        </w:tc>
        <w:tc>
          <w:tcPr/>
          <w:p>
            <w:pPr>
              <w:pStyle w:val="Compact"/>
              <w:jc w:val="right"/>
            </w:pPr>
            <w:r>
              <w:t xml:space="preserve">0.350</w:t>
            </w:r>
          </w:p>
        </w:tc>
        <w:tc>
          <w:tcPr/>
          <w:p>
            <w:pPr>
              <w:pStyle w:val="Compact"/>
              <w:jc w:val="right"/>
            </w:pPr>
            <w:r>
              <w:t xml:space="preserve">-0.087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0.365</w:t>
            </w:r>
          </w:p>
        </w:tc>
        <w:tc>
          <w:tcPr/>
          <w:p>
            <w:pPr>
              <w:pStyle w:val="Compact"/>
              <w:jc w:val="right"/>
            </w:pPr>
            <w:r>
              <w:t xml:space="preserve">0.043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4</w:t>
            </w:r>
          </w:p>
        </w:tc>
        <w:tc>
          <w:tcPr/>
          <w:p>
            <w:pPr>
              <w:pStyle w:val="Compact"/>
              <w:jc w:val="right"/>
            </w:pPr>
            <w:r>
              <w:t xml:space="preserve">0.435</w:t>
            </w:r>
          </w:p>
        </w:tc>
        <w:tc>
          <w:tcPr/>
          <w:p>
            <w:pPr>
              <w:pStyle w:val="Compact"/>
              <w:jc w:val="right"/>
            </w:pPr>
            <w:r>
              <w:t xml:space="preserve">0.126</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7</w:t>
            </w:r>
          </w:p>
        </w:tc>
        <w:tc>
          <w:tcPr/>
          <w:p>
            <w:pPr>
              <w:pStyle w:val="Compact"/>
              <w:jc w:val="right"/>
            </w:pPr>
            <w:r>
              <w:t xml:space="preserve">0.380</w:t>
            </w:r>
          </w:p>
        </w:tc>
        <w:tc>
          <w:tcPr/>
          <w:p>
            <w:pPr>
              <w:pStyle w:val="Compact"/>
              <w:jc w:val="right"/>
            </w:pPr>
            <w:r>
              <w:t xml:space="preserve">0.023</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33.62**</w:t>
            </w:r>
          </w:p>
        </w:tc>
        <w:tc>
          <w:tcPr/>
          <w:p>
            <w:pPr>
              <w:pStyle w:val="Compact"/>
              <w:jc w:val="left"/>
            </w:pPr>
            <w:r>
              <w:t xml:space="preserve">ab</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1.900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ac</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2.350</w:t>
            </w:r>
          </w:p>
        </w:tc>
        <w:tc>
          <w:tcPr/>
          <w:p>
            <w:pPr>
              <w:pStyle w:val="Compact"/>
              <w:jc w:val="right"/>
            </w:pPr>
            <w:r>
              <w:t xml:space="preserve">-0.450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2.800</w:t>
            </w:r>
          </w:p>
        </w:tc>
        <w:tc>
          <w:tcPr/>
          <w:p>
            <w:pPr>
              <w:pStyle w:val="Compact"/>
              <w:jc w:val="right"/>
            </w:pPr>
            <w:r>
              <w:t xml:space="preserve">-1.580</w:t>
            </w:r>
          </w:p>
        </w:tc>
      </w:tr>
      <w:tr>
        <w:tc>
          <w:tcPr/>
          <w:p>
            <w:pPr>
              <w:pStyle w:val="Compact"/>
            </w:pPr>
          </w:p>
        </w:tc>
        <w:tc>
          <w:tcPr/>
          <w:p>
            <w:pPr>
              <w:pStyle w:val="Compact"/>
            </w:pPr>
          </w:p>
        </w:tc>
        <w:tc>
          <w:tcPr/>
          <w:p>
            <w:pPr>
              <w:pStyle w:val="Compact"/>
            </w:pPr>
          </w:p>
        </w:tc>
        <w:tc>
          <w:tcPr/>
          <w:p>
            <w:pPr>
              <w:pStyle w:val="Compact"/>
              <w:jc w:val="left"/>
            </w:pPr>
            <w:r>
              <w:t xml:space="preserve">cd</w:t>
            </w:r>
          </w:p>
        </w:tc>
        <w:tc>
          <w:tcPr/>
          <w:p>
            <w:pPr>
              <w:pStyle w:val="Compact"/>
              <w:jc w:val="left"/>
            </w:pPr>
            <w:r>
              <w:t xml:space="preserve">Jul</w:t>
            </w:r>
          </w:p>
        </w:tc>
        <w:tc>
          <w:tcPr/>
          <w:p>
            <w:pPr>
              <w:pStyle w:val="Compact"/>
              <w:jc w:val="right"/>
            </w:pPr>
            <w:r>
              <w:t xml:space="preserve">8</w:t>
            </w:r>
          </w:p>
        </w:tc>
        <w:tc>
          <w:tcPr/>
          <w:p>
            <w:pPr>
              <w:pStyle w:val="Compact"/>
              <w:jc w:val="right"/>
            </w:pPr>
            <w:r>
              <w:t xml:space="preserve">4.150</w:t>
            </w:r>
          </w:p>
        </w:tc>
        <w:tc>
          <w:tcPr/>
          <w:p>
            <w:pPr>
              <w:pStyle w:val="Compact"/>
              <w:jc w:val="right"/>
            </w:pPr>
            <w:r>
              <w:t xml:space="preserve">0.770</w:t>
            </w:r>
          </w:p>
        </w:tc>
      </w:tr>
      <w:tr>
        <w:tc>
          <w:tcPr/>
          <w:p>
            <w:pPr>
              <w:pStyle w:val="Compact"/>
            </w:pPr>
          </w:p>
        </w:tc>
        <w:tc>
          <w:tcPr/>
          <w:p>
            <w:pPr>
              <w:pStyle w:val="Compact"/>
            </w:pPr>
          </w:p>
        </w:tc>
        <w:tc>
          <w:tcPr/>
          <w:p>
            <w:pPr>
              <w:pStyle w:val="Compact"/>
            </w:pPr>
          </w:p>
        </w:tc>
        <w:tc>
          <w:tcPr/>
          <w:p>
            <w:pPr>
              <w:pStyle w:val="Compact"/>
              <w:jc w:val="left"/>
            </w:pPr>
            <w:r>
              <w:t xml:space="preserve">bd</w:t>
            </w:r>
          </w:p>
        </w:tc>
        <w:tc>
          <w:tcPr/>
          <w:p>
            <w:pPr>
              <w:pStyle w:val="Compact"/>
              <w:jc w:val="left"/>
            </w:pPr>
            <w:r>
              <w:t xml:space="preserve">Aug</w:t>
            </w:r>
          </w:p>
        </w:tc>
        <w:tc>
          <w:tcPr/>
          <w:p>
            <w:pPr>
              <w:pStyle w:val="Compact"/>
              <w:jc w:val="right"/>
            </w:pPr>
            <w:r>
              <w:t xml:space="preserve">4</w:t>
            </w:r>
          </w:p>
        </w:tc>
        <w:tc>
          <w:tcPr/>
          <w:p>
            <w:pPr>
              <w:pStyle w:val="Compact"/>
              <w:jc w:val="right"/>
            </w:pPr>
            <w:r>
              <w:t xml:space="preserve">3.200</w:t>
            </w:r>
          </w:p>
        </w:tc>
        <w:tc>
          <w:tcPr/>
          <w:p>
            <w:pPr>
              <w:pStyle w:val="Compact"/>
              <w:jc w:val="right"/>
            </w:pPr>
            <w:r>
              <w:t xml:space="preserve">-3.100</w:t>
            </w:r>
          </w:p>
        </w:tc>
      </w:tr>
      <w:tr>
        <w:tc>
          <w:tcPr/>
          <w:p>
            <w:pPr>
              <w:pStyle w:val="Compact"/>
            </w:pPr>
          </w:p>
        </w:tc>
        <w:tc>
          <w:tcPr/>
          <w:p>
            <w:pPr>
              <w:pStyle w:val="Compact"/>
            </w:pPr>
          </w:p>
        </w:tc>
        <w:tc>
          <w:tcPr/>
          <w:p>
            <w:pPr>
              <w:pStyle w:val="Compact"/>
            </w:pPr>
          </w:p>
        </w:tc>
        <w:tc>
          <w:tcPr/>
          <w:p>
            <w:pPr>
              <w:pStyle w:val="Compact"/>
              <w:jc w:val="left"/>
            </w:pPr>
            <w:r>
              <w:t xml:space="preserve">abcd</w:t>
            </w:r>
          </w:p>
        </w:tc>
        <w:tc>
          <w:tcPr/>
          <w:p>
            <w:pPr>
              <w:pStyle w:val="Compact"/>
              <w:jc w:val="left"/>
            </w:pPr>
            <w:r>
              <w:t xml:space="preserve">Sep</w:t>
            </w:r>
          </w:p>
        </w:tc>
        <w:tc>
          <w:tcPr/>
          <w:p>
            <w:pPr>
              <w:pStyle w:val="Compact"/>
              <w:jc w:val="right"/>
            </w:pPr>
            <w:r>
              <w:t xml:space="preserve">8</w:t>
            </w:r>
          </w:p>
        </w:tc>
        <w:tc>
          <w:tcPr/>
          <w:p>
            <w:pPr>
              <w:pStyle w:val="Compact"/>
              <w:jc w:val="right"/>
            </w:pPr>
            <w:r>
              <w:t xml:space="preserve">3.600</w:t>
            </w:r>
          </w:p>
        </w:tc>
        <w:tc>
          <w:tcPr/>
          <w:p>
            <w:pPr>
              <w:pStyle w:val="Compact"/>
              <w:jc w:val="right"/>
            </w:pPr>
            <w:r>
              <w:t xml:space="preserve">-1.500</w:t>
            </w:r>
          </w:p>
        </w:tc>
      </w:tr>
      <w:tr>
        <w:tc>
          <w:tcPr/>
          <w:p>
            <w:pPr>
              <w:pStyle w:val="Compact"/>
            </w:pPr>
          </w:p>
        </w:tc>
        <w:tc>
          <w:tcPr/>
          <w:p>
            <w:pPr>
              <w:pStyle w:val="Compact"/>
              <w:jc w:val="left"/>
            </w:pPr>
            <w:r>
              <w:t xml:space="preserve">Secchi (m)</w:t>
            </w:r>
          </w:p>
        </w:tc>
        <w:tc>
          <w:tcPr/>
          <w:p>
            <w:pPr>
              <w:pStyle w:val="Compact"/>
              <w:jc w:val="left"/>
            </w:pPr>
            <w:r>
              <w:t xml:space="preserve">8.77</w:t>
            </w:r>
          </w:p>
        </w:tc>
        <w:tc>
          <w:tcPr/>
          <w:p>
            <w:pPr>
              <w:pStyle w:val="Compact"/>
              <w:jc w:val="left"/>
            </w:pPr>
            <w:r>
              <w:t xml:space="preserve">a</w:t>
            </w:r>
          </w:p>
        </w:tc>
        <w:tc>
          <w:tcPr/>
          <w:p>
            <w:pPr>
              <w:pStyle w:val="Compact"/>
              <w:jc w:val="left"/>
            </w:pPr>
            <w:r>
              <w:t xml:space="preserve">Apr</w:t>
            </w:r>
          </w:p>
        </w:tc>
        <w:tc>
          <w:tcPr/>
          <w:p>
            <w:pPr>
              <w:pStyle w:val="Compact"/>
              <w:jc w:val="right"/>
            </w:pPr>
            <w:r>
              <w:t xml:space="preserve">41</w:t>
            </w:r>
          </w:p>
        </w:tc>
        <w:tc>
          <w:tcPr/>
          <w:p>
            <w:pPr>
              <w:pStyle w:val="Compact"/>
              <w:jc w:val="right"/>
            </w:pPr>
            <w:r>
              <w:t xml:space="preserve">2.700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2.200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-0.100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2.000</w:t>
            </w:r>
          </w:p>
        </w:tc>
        <w:tc>
          <w:tcPr/>
          <w:p>
            <w:pPr>
              <w:pStyle w:val="Compact"/>
              <w:jc w:val="right"/>
            </w:pPr>
            <w:r>
              <w:t xml:space="preserve">-0.800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Sep</w:t>
            </w:r>
          </w:p>
        </w:tc>
        <w:tc>
          <w:tcPr/>
          <w:p>
            <w:pPr>
              <w:pStyle w:val="Compact"/>
              <w:jc w:val="right"/>
            </w:pPr>
            <w:r>
              <w:t xml:space="preserve">11</w:t>
            </w:r>
          </w:p>
        </w:tc>
        <w:tc>
          <w:tcPr/>
          <w:p>
            <w:pPr>
              <w:pStyle w:val="Compact"/>
              <w:jc w:val="right"/>
            </w:pPr>
            <w:r>
              <w:t xml:space="preserve">2.200</w:t>
            </w:r>
          </w:p>
        </w:tc>
        <w:tc>
          <w:tcPr/>
          <w:p>
            <w:pPr>
              <w:pStyle w:val="Compact"/>
              <w:jc w:val="right"/>
            </w:pPr>
            <w:r>
              <w:t xml:space="preserve">0.000</w:t>
            </w:r>
          </w:p>
        </w:tc>
      </w:tr>
    </w:tbl>
    <w:bookmarkEnd w:id="76"/>
    <w:bookmarkStart w:id="191" w:name="references"/>
    <w:p>
      <w:pPr>
        <w:pStyle w:val="Heading1"/>
      </w:pPr>
      <w:r>
        <w:t xml:space="preserve">References</w:t>
      </w:r>
    </w:p>
    <w:bookmarkStart w:id="190" w:name="refs"/>
    <w:bookmarkStart w:id="78"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7">
        <w:r>
          <w:rPr>
            <w:rStyle w:val="Hyperlink"/>
          </w:rPr>
          <w:t xml:space="preserve">https://doi.org/10.1016/j.hal.2006.08.004</w:t>
        </w:r>
      </w:hyperlink>
    </w:p>
    <w:bookmarkEnd w:id="78"/>
    <w:bookmarkStart w:id="80"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9">
        <w:r>
          <w:rPr>
            <w:rStyle w:val="Hyperlink"/>
          </w:rPr>
          <w:t xml:space="preserve">https://doi.org/10.1016/j.marpolbul.2004.10.016</w:t>
        </w:r>
      </w:hyperlink>
    </w:p>
    <w:bookmarkEnd w:id="80"/>
    <w:bookmarkStart w:id="82" w:name="ref-Bates76"/>
    <w:p>
      <w:pPr>
        <w:pStyle w:val="Bibliography"/>
      </w:pPr>
      <w:r>
        <w:t xml:space="preserve">Bates, S.S., 1976. Effects of light and ammonium on nitrate uptake by two species of estuarine phytoplankton. Limnology and oceanography 21, 212–218.</w:t>
      </w:r>
      <w:r>
        <w:t xml:space="preserve"> </w:t>
      </w:r>
      <w:hyperlink r:id="rId81">
        <w:r>
          <w:rPr>
            <w:rStyle w:val="Hyperlink"/>
          </w:rPr>
          <w:t xml:space="preserve">https://doi.org/10.4319/lo.1976.21.2.0212</w:t>
        </w:r>
      </w:hyperlink>
    </w:p>
    <w:bookmarkEnd w:id="82"/>
    <w:bookmarkStart w:id="84" w:name="ref-Beck21d"/>
    <w:p>
      <w:pPr>
        <w:pStyle w:val="Bibliography"/>
      </w:pPr>
      <w:r>
        <w:t xml:space="preserve">Beck, M.W., 2021.</w:t>
      </w:r>
      <w:r>
        <w:t xml:space="preserve"> </w:t>
      </w:r>
      <w:r>
        <w:t xml:space="preserve">2021 Piney Point Sampling in Tampa Bay. Knowledge Network for Biocomplexity. urn:node:KNB.</w:t>
      </w:r>
      <w:r>
        <w:t xml:space="preserve"> </w:t>
      </w:r>
      <w:hyperlink r:id="rId83">
        <w:r>
          <w:rPr>
            <w:rStyle w:val="Hyperlink"/>
          </w:rPr>
          <w:t xml:space="preserve">https://doi.org/doi:10.5063/F1959G05</w:t>
        </w:r>
      </w:hyperlink>
    </w:p>
    <w:bookmarkEnd w:id="84"/>
    <w:bookmarkStart w:id="86" w:name="ref-Beck21c"/>
    <w:p>
      <w:pPr>
        <w:pStyle w:val="Bibliography"/>
      </w:pPr>
      <w:r>
        <w:t xml:space="preserve">Beck, M.W., Burke, M.C., Raulerson, G.E., Scolaro, S.C., Sherwood, E.T., Whalen, J.D., 2021a.</w:t>
      </w:r>
      <w:r>
        <w:t xml:space="preserve"> </w:t>
      </w:r>
      <w:r>
        <w:t xml:space="preserve">P</w:t>
      </w:r>
      <w:r>
        <w:t xml:space="preserve">iney</w:t>
      </w:r>
      <w:r>
        <w:t xml:space="preserve"> </w:t>
      </w:r>
      <w:r>
        <w:t xml:space="preserve">P</w:t>
      </w:r>
      <w:r>
        <w:t xml:space="preserve">oint environmental monitoring dashboard.</w:t>
      </w:r>
      <w:r>
        <w:t xml:space="preserve"> </w:t>
      </w:r>
      <w:r>
        <w:t xml:space="preserve">t</w:t>
      </w:r>
      <w:r>
        <w:t xml:space="preserve">bep-tech/piney-point: v1.0.0. Zenodo.</w:t>
      </w:r>
      <w:r>
        <w:t xml:space="preserve"> </w:t>
      </w:r>
      <w:hyperlink r:id="rId85">
        <w:r>
          <w:rPr>
            <w:rStyle w:val="Hyperlink"/>
          </w:rPr>
          <w:t xml:space="preserve">https://doi.org/10.5281/zenodo.4666494</w:t>
        </w:r>
      </w:hyperlink>
    </w:p>
    <w:bookmarkEnd w:id="86"/>
    <w:bookmarkStart w:id="88"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7">
        <w:r>
          <w:rPr>
            <w:rStyle w:val="Hyperlink"/>
          </w:rPr>
          <w:t xml:space="preserve">https://doi.org/10.18785/gcr.2901.02</w:t>
        </w:r>
      </w:hyperlink>
    </w:p>
    <w:bookmarkEnd w:id="88"/>
    <w:bookmarkStart w:id="90"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9">
        <w:r>
          <w:rPr>
            <w:rStyle w:val="Hyperlink"/>
          </w:rPr>
          <w:t xml:space="preserve">https://doi.org/10.1007/s12237-017-0287-1</w:t>
        </w:r>
      </w:hyperlink>
    </w:p>
    <w:bookmarkEnd w:id="90"/>
    <w:bookmarkStart w:id="92" w:name="ref-Beck21"/>
    <w:p>
      <w:pPr>
        <w:pStyle w:val="Bibliography"/>
      </w:pPr>
      <w:r>
        <w:t xml:space="preserve">Beck, M.W., Schrandt, M.N., Wessel, M.R., Sherwood, E.T., Raulerson, G.E., Prasad, A.A.B., Best, B.D., 2021b.</w:t>
      </w:r>
      <w:r>
        <w:t xml:space="preserve"> </w:t>
      </w:r>
      <w:r>
        <w:t xml:space="preserve">tbeptools</w:t>
      </w:r>
      <w:r>
        <w:t xml:space="preserve">: An</w:t>
      </w:r>
      <w:r>
        <w:t xml:space="preserve"> </w:t>
      </w:r>
      <w:r>
        <w:t xml:space="preserve">R</w:t>
      </w:r>
      <w:r>
        <w:t xml:space="preserve"> </w:t>
      </w:r>
      <w:r>
        <w:t xml:space="preserve">package for synthesizing estuarine data for environmental research. Journal of Open Source Software 6, 3485.</w:t>
      </w:r>
      <w:r>
        <w:t xml:space="preserve"> </w:t>
      </w:r>
      <w:hyperlink r:id="rId91">
        <w:r>
          <w:rPr>
            <w:rStyle w:val="Hyperlink"/>
          </w:rPr>
          <w:t xml:space="preserve">https://doi.org/10.21105/joss.03485</w:t>
        </w:r>
      </w:hyperlink>
    </w:p>
    <w:bookmarkEnd w:id="92"/>
    <w:bookmarkStart w:id="93" w:name="ref-Bryan20"/>
    <w:p>
      <w:pPr>
        <w:pStyle w:val="Bibliography"/>
      </w:pPr>
      <w:r>
        <w:t xml:space="preserve">Bryan, J., 2020.</w:t>
      </w:r>
      <w:r>
        <w:t xml:space="preserve"> </w:t>
      </w:r>
      <w:r>
        <w:t xml:space="preserve">g</w:t>
      </w:r>
      <w:r>
        <w:t xml:space="preserve">ooglesheets4: Access</w:t>
      </w:r>
      <w:r>
        <w:t xml:space="preserve"> </w:t>
      </w:r>
      <w:r>
        <w:t xml:space="preserve">G</w:t>
      </w:r>
      <w:r>
        <w:t xml:space="preserve">oogle</w:t>
      </w:r>
      <w:r>
        <w:t xml:space="preserve"> </w:t>
      </w:r>
      <w:r>
        <w:t xml:space="preserve">S</w:t>
      </w:r>
      <w:r>
        <w:t xml:space="preserve">heets using the</w:t>
      </w:r>
      <w:r>
        <w:t xml:space="preserve"> </w:t>
      </w:r>
      <w:r>
        <w:t xml:space="preserve">Sheets API V4</w:t>
      </w:r>
      <w:r>
        <w:t xml:space="preserve">.</w:t>
      </w:r>
      <w:r>
        <w:t xml:space="preserve"> </w:t>
      </w:r>
      <w:r>
        <w:t xml:space="preserve">R package version 0.2.0. https://CRAN.R-project.org/package=googlesheets4</w:t>
      </w:r>
      <w:r>
        <w:t xml:space="preserve">.</w:t>
      </w:r>
    </w:p>
    <w:bookmarkEnd w:id="93"/>
    <w:bookmarkStart w:id="95"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94">
        <w:r>
          <w:rPr>
            <w:rStyle w:val="Hyperlink"/>
          </w:rPr>
          <w:t xml:space="preserve">https://doi.org/10.1016/S0265-931X(00)00164-8</w:t>
        </w:r>
      </w:hyperlink>
    </w:p>
    <w:bookmarkEnd w:id="95"/>
    <w:bookmarkStart w:id="97"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6">
        <w:r>
          <w:rPr>
            <w:rStyle w:val="Hyperlink"/>
          </w:rPr>
          <w:t xml:space="preserve">https://doi.org/10.1007/s12237-013-9701-5</w:t>
        </w:r>
      </w:hyperlink>
    </w:p>
    <w:bookmarkEnd w:id="97"/>
    <w:bookmarkStart w:id="99"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8">
        <w:r>
          <w:rPr>
            <w:rStyle w:val="Hyperlink"/>
          </w:rPr>
          <w:t xml:space="preserve">https://doi.org/10.4031/MTSJ.52.3.6</w:t>
        </w:r>
      </w:hyperlink>
    </w:p>
    <w:bookmarkEnd w:id="99"/>
    <w:bookmarkStart w:id="101" w:name="ref-Chen19"/>
    <w:p>
      <w:pPr>
        <w:pStyle w:val="Bibliography"/>
      </w:pPr>
      <w:r>
        <w:t xml:space="preserve">Chen, J., Weisberg, R.H., Liu, Y., Zheng, L., Zhu, J., 2019. On the momentum balance of tampa bay. Journal of Geophysical Research: Oceans 124, 4492–4510.</w:t>
      </w:r>
      <w:r>
        <w:t xml:space="preserve"> </w:t>
      </w:r>
      <w:hyperlink r:id="rId100">
        <w:r>
          <w:rPr>
            <w:rStyle w:val="Hyperlink"/>
          </w:rPr>
          <w:t xml:space="preserve">https://doi.org/10.1029/2018JC014890</w:t>
        </w:r>
      </w:hyperlink>
    </w:p>
    <w:bookmarkEnd w:id="101"/>
    <w:bookmarkStart w:id="103"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102">
        <w:r>
          <w:rPr>
            <w:rStyle w:val="Hyperlink"/>
          </w:rPr>
          <w:t xml:space="preserve">https://doi.org/10.1890/1051-0761(2006)016[1405:UOGMAI]2.0.CO;2</w:t>
        </w:r>
      </w:hyperlink>
    </w:p>
    <w:bookmarkEnd w:id="103"/>
    <w:bookmarkStart w:id="104" w:name="ref-DAgostino20"/>
    <w:p>
      <w:pPr>
        <w:pStyle w:val="Bibliography"/>
      </w:pPr>
      <w:r>
        <w:t xml:space="preserve">D’Agostino McGowan, L., Bryan, J., 2020.</w:t>
      </w:r>
      <w:r>
        <w:t xml:space="preserve"> </w:t>
      </w:r>
      <w:r>
        <w:t xml:space="preserve">g</w:t>
      </w:r>
      <w:r>
        <w:t xml:space="preserve">oogledrive: An interface to</w:t>
      </w:r>
      <w:r>
        <w:t xml:space="preserve"> </w:t>
      </w:r>
      <w:r>
        <w:t xml:space="preserve">G</w:t>
      </w:r>
      <w:r>
        <w:t xml:space="preserve">oogle</w:t>
      </w:r>
      <w:r>
        <w:t xml:space="preserve"> </w:t>
      </w:r>
      <w:r>
        <w:t xml:space="preserve">D</w:t>
      </w:r>
      <w:r>
        <w:t xml:space="preserve">rive.</w:t>
      </w:r>
      <w:r>
        <w:t xml:space="preserve"> </w:t>
      </w:r>
      <w:r>
        <w:t xml:space="preserve">R package version 1.0.1. https://CRAN.R-project.org/package=googledrive</w:t>
      </w:r>
      <w:r>
        <w:t xml:space="preserve">.</w:t>
      </w:r>
    </w:p>
    <w:bookmarkEnd w:id="104"/>
    <w:bookmarkStart w:id="105"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5"/>
    <w:bookmarkStart w:id="106" w:name="ref-Dixon95"/>
    <w:p>
      <w:pPr>
        <w:pStyle w:val="Bibliography"/>
      </w:pPr>
      <w:r>
        <w:t xml:space="preserve">Dixon, L.K., Leverone, J.R., 1995. Light requirements of</w:t>
      </w:r>
      <w:r>
        <w:t xml:space="preserve"> </w:t>
      </w:r>
      <w:r>
        <w:rPr>
          <w:iCs/>
          <w:i/>
        </w:rPr>
        <w:t xml:space="preserve">T</w:t>
      </w:r>
      <w:r>
        <w:rPr>
          <w:iCs/>
          <w:i/>
        </w:rPr>
        <w:t xml:space="preserve">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6"/>
    <w:bookmarkStart w:id="108"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7">
        <w:r>
          <w:rPr>
            <w:rStyle w:val="Hyperlink"/>
          </w:rPr>
          <w:t xml:space="preserve">https://www.jstor.org/stable/24322132</w:t>
        </w:r>
      </w:hyperlink>
    </w:p>
    <w:bookmarkEnd w:id="108"/>
    <w:bookmarkStart w:id="110"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9">
        <w:r>
          <w:rPr>
            <w:rStyle w:val="Hyperlink"/>
          </w:rPr>
          <w:t xml:space="preserve">https://doi.org/10.1007/s00027-011-0180-0</w:t>
        </w:r>
      </w:hyperlink>
    </w:p>
    <w:bookmarkEnd w:id="110"/>
    <w:bookmarkStart w:id="112"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11">
        <w:r>
          <w:rPr>
            <w:rStyle w:val="Hyperlink"/>
          </w:rPr>
          <w:t xml:space="preserve">https://doi.org/10.1016/j.marpolbul.2015.10.047</w:t>
        </w:r>
      </w:hyperlink>
    </w:p>
    <w:bookmarkEnd w:id="112"/>
    <w:bookmarkStart w:id="114" w:name="ref-Eldridge04"/>
    <w:p>
      <w:pPr>
        <w:pStyle w:val="Bibliography"/>
      </w:pPr>
      <w:r>
        <w:t xml:space="preserve">Eldridge, P.M., Kaldy, J.E., Burd, A.B., 2004. Stress response model for the tropical seagrass</w:t>
      </w:r>
      <w:r>
        <w:t xml:space="preserve"> </w:t>
      </w:r>
      <w:r>
        <w:rPr>
          <w:iCs/>
          <w:i/>
        </w:rPr>
        <w:t xml:space="preserve">T</w:t>
      </w:r>
      <w:r>
        <w:rPr>
          <w:iCs/>
          <w:i/>
        </w:rPr>
        <w:t xml:space="preserve">halassia testudinum</w:t>
      </w:r>
      <w:r>
        <w:t xml:space="preserve">: The interactions of light, temperature, sedimentation, and geochemistry. Estuaries 27, 923–937.</w:t>
      </w:r>
      <w:r>
        <w:t xml:space="preserve"> </w:t>
      </w:r>
      <w:hyperlink r:id="rId113">
        <w:r>
          <w:rPr>
            <w:rStyle w:val="Hyperlink"/>
          </w:rPr>
          <w:t xml:space="preserve">https://doi.org/10.1007/BF02803419</w:t>
        </w:r>
      </w:hyperlink>
    </w:p>
    <w:bookmarkEnd w:id="114"/>
    <w:bookmarkStart w:id="115"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15"/>
    <w:bookmarkStart w:id="117" w:name="ref-Flaherty11"/>
    <w:p>
      <w:pPr>
        <w:pStyle w:val="Bibliography"/>
      </w:pPr>
      <w:r>
        <w:t xml:space="preserve">Flaherty, K.E., Landsberg, J.H., 2011. Effects of a persistent red tide</w:t>
      </w:r>
      <w:r>
        <w:t xml:space="preserve"> </w:t>
      </w:r>
      <w:r>
        <w:rPr>
          <w:iCs/>
          <w:i/>
        </w:rPr>
        <w:t xml:space="preserve">K</w:t>
      </w:r>
      <w:r>
        <w:rPr>
          <w:iCs/>
          <w:i/>
        </w:rPr>
        <w:t xml:space="preserve">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16">
        <w:r>
          <w:rPr>
            <w:rStyle w:val="Hyperlink"/>
          </w:rPr>
          <w:t xml:space="preserve">https://doi.org/10.1007/s12237-010-9350-x</w:t>
        </w:r>
      </w:hyperlink>
    </w:p>
    <w:bookmarkEnd w:id="117"/>
    <w:bookmarkStart w:id="119"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8">
        <w:r>
          <w:rPr>
            <w:rStyle w:val="Hyperlink"/>
          </w:rPr>
          <w:t xml:space="preserve">https://doi.org/10.1016/j.marpolbul.2010.11.017</w:t>
        </w:r>
      </w:hyperlink>
    </w:p>
    <w:bookmarkEnd w:id="119"/>
    <w:bookmarkStart w:id="121"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20">
        <w:r>
          <w:rPr>
            <w:rStyle w:val="Hyperlink"/>
          </w:rPr>
          <w:t xml:space="preserve">https://doi.org/10.1007/s00267-005-0079-4</w:t>
        </w:r>
      </w:hyperlink>
    </w:p>
    <w:bookmarkEnd w:id="121"/>
    <w:bookmarkStart w:id="123"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22">
        <w:r>
          <w:rPr>
            <w:rStyle w:val="Hyperlink"/>
          </w:rPr>
          <w:t xml:space="preserve">https://doi.org/10.1016/j.ecss.2014.10.003</w:t>
        </w:r>
      </w:hyperlink>
    </w:p>
    <w:bookmarkEnd w:id="123"/>
    <w:bookmarkStart w:id="124" w:name="ref-Helsel05"/>
    <w:p>
      <w:pPr>
        <w:pStyle w:val="Bibliography"/>
      </w:pPr>
      <w:r>
        <w:t xml:space="preserve">Helsel, D.R., 2005. Nondectects and data analysis: Statistics for censored environmental data. John Wiley &amp; Sons, New Jersey, USA.</w:t>
      </w:r>
    </w:p>
    <w:bookmarkEnd w:id="124"/>
    <w:bookmarkStart w:id="125"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r>
        <w:t xml:space="preserve"> </w:t>
      </w:r>
      <w:r>
        <w:t xml:space="preserve">University of South Florida St. Petersburg, Florida</w:t>
      </w:r>
      <w:r>
        <w:t xml:space="preserve">.</w:t>
      </w:r>
    </w:p>
    <w:bookmarkEnd w:id="125"/>
    <w:bookmarkStart w:id="126" w:name="ref-Hollander13"/>
    <w:p>
      <w:pPr>
        <w:pStyle w:val="Bibliography"/>
      </w:pPr>
      <w:r>
        <w:t xml:space="preserve">Hollander, M., Wolfe, D.A., Chicken, E., 2013. Nonparametric statistical methods. John Wiley &amp; Sons.</w:t>
      </w:r>
    </w:p>
    <w:bookmarkEnd w:id="126"/>
    <w:bookmarkStart w:id="127" w:name="ref-Holm79"/>
    <w:p>
      <w:pPr>
        <w:pStyle w:val="Bibliography"/>
      </w:pPr>
      <w:r>
        <w:t xml:space="preserve">Holm, S., 1979. A simple sequentially rejective multiple test procedure. Scandinavian Journal of Statistics 6, 65–70.</w:t>
      </w:r>
    </w:p>
    <w:bookmarkEnd w:id="127"/>
    <w:bookmarkStart w:id="129" w:name="ref-Hudson11"/>
    <w:p>
      <w:pPr>
        <w:pStyle w:val="Bibliography"/>
      </w:pPr>
      <w:r>
        <w:t xml:space="preserve">Hudson-Edwards, K.A., Jamieson, H.E., Lottermoser, B.G., 2011. Mine wastes: Past, present, future. Elements 7, 375–380.</w:t>
      </w:r>
      <w:r>
        <w:t xml:space="preserve"> </w:t>
      </w:r>
      <w:hyperlink r:id="rId128">
        <w:r>
          <w:rPr>
            <w:rStyle w:val="Hyperlink"/>
          </w:rPr>
          <w:t xml:space="preserve">https://doi.org/10.2113/gselements.7.6.375</w:t>
        </w:r>
      </w:hyperlink>
    </w:p>
    <w:bookmarkEnd w:id="129"/>
    <w:bookmarkStart w:id="130"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0"/>
    <w:bookmarkStart w:id="131" w:name="ref-Janicki12"/>
    <w:p>
      <w:pPr>
        <w:pStyle w:val="Bibliography"/>
      </w:pPr>
      <w:r>
        <w:t xml:space="preserve">Janicki Environmental, Inc., 2012. Development of a screening level tool for estimating annual hydrologic loadings to</w:t>
      </w:r>
      <w:r>
        <w:t xml:space="preserve"> </w:t>
      </w:r>
      <w:r>
        <w:t xml:space="preserve">T</w:t>
      </w:r>
      <w:r>
        <w:t xml:space="preserve">ampa</w:t>
      </w:r>
      <w:r>
        <w:t xml:space="preserve"> </w:t>
      </w:r>
      <w:r>
        <w:t xml:space="preserve">B</w:t>
      </w:r>
      <w:r>
        <w:t xml:space="preserve">ay (No. 05-12). Tampa Bay Estuary Program, St. Petersburg, Florida.</w:t>
      </w:r>
    </w:p>
    <w:bookmarkEnd w:id="131"/>
    <w:bookmarkStart w:id="132" w:name="ref-Johansson16"/>
    <w:p>
      <w:pPr>
        <w:pStyle w:val="Bibliography"/>
      </w:pPr>
      <w:r>
        <w:t xml:space="preserve">Johansson, R., 2016. Seagrass transect monitoring in</w:t>
      </w:r>
      <w:r>
        <w:t xml:space="preserve"> </w:t>
      </w:r>
      <w:r>
        <w:t xml:space="preserve">T</w:t>
      </w:r>
      <w:r>
        <w:t xml:space="preserve">ampa</w:t>
      </w:r>
      <w:r>
        <w:t xml:space="preserve"> </w:t>
      </w:r>
      <w:r>
        <w:t xml:space="preserve">B</w:t>
      </w:r>
      <w:r>
        <w:t xml:space="preserve">ay: A summary of findings from 1997 through 2015 (No. 08-16). Tampa Bay Estuary Program, St. Petersburg, Florida.</w:t>
      </w:r>
    </w:p>
    <w:bookmarkEnd w:id="132"/>
    <w:bookmarkStart w:id="134"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33">
        <w:r>
          <w:rPr>
            <w:rStyle w:val="Hyperlink"/>
          </w:rPr>
          <w:t xml:space="preserve">https://doi.org/10.1016/S0302-3524(80)80065-X</w:t>
        </w:r>
      </w:hyperlink>
    </w:p>
    <w:bookmarkEnd w:id="134"/>
    <w:bookmarkStart w:id="135" w:name="ref-Kenworthy96"/>
    <w:p>
      <w:pPr>
        <w:pStyle w:val="Bibliography"/>
      </w:pPr>
      <w:r>
        <w:t xml:space="preserve">Kenworthy, W.J., Fonseca, M.S., 1996. Light requirements of seagrasses</w:t>
      </w:r>
      <w:r>
        <w:t xml:space="preserve"> </w:t>
      </w:r>
      <w:r>
        <w:rPr>
          <w:iCs/>
          <w:i/>
        </w:rPr>
        <w:t xml:space="preserve">H</w:t>
      </w:r>
      <w:r>
        <w:rPr>
          <w:iCs/>
          <w:i/>
        </w:rPr>
        <w:t xml:space="preserve">alodule wrightii</w:t>
      </w:r>
      <w:r>
        <w:t xml:space="preserve"> </w:t>
      </w:r>
      <w:r>
        <w:t xml:space="preserve">and</w:t>
      </w:r>
      <w:r>
        <w:t xml:space="preserve"> </w:t>
      </w:r>
      <w:r>
        <w:rPr>
          <w:iCs/>
          <w:i/>
        </w:rPr>
        <w:t xml:space="preserve">S</w:t>
      </w:r>
      <w:r>
        <w:rPr>
          <w:iCs/>
          <w:i/>
        </w:rPr>
        <w:t xml:space="preserve">yringodium filiforme</w:t>
      </w:r>
      <w:r>
        <w:t xml:space="preserve"> </w:t>
      </w:r>
      <w:r>
        <w:t xml:space="preserve">derived from the relationship between diffuse light attenuation and maximum depth distribution. Estuaries 19, 740–750.</w:t>
      </w:r>
    </w:p>
    <w:bookmarkEnd w:id="135"/>
    <w:bookmarkStart w:id="136" w:name="ref-Lee20"/>
    <w:p>
      <w:pPr>
        <w:pStyle w:val="Bibliography"/>
      </w:pPr>
      <w:r>
        <w:t xml:space="preserve">Lee, L., 2020. NADA: Nondetects and data analysis for environmental data.</w:t>
      </w:r>
      <w:r>
        <w:t xml:space="preserve"> </w:t>
      </w:r>
      <w:r>
        <w:t xml:space="preserve">R package version 1.6-1.1. https://CRAN.R-project.org/package=NADA</w:t>
      </w:r>
      <w:r>
        <w:t xml:space="preserve">.</w:t>
      </w:r>
    </w:p>
    <w:bookmarkEnd w:id="136"/>
    <w:bookmarkStart w:id="138"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7">
        <w:r>
          <w:rPr>
            <w:rStyle w:val="Hyperlink"/>
          </w:rPr>
          <w:t xml:space="preserve">https://doi.org/10.1002/2016JC011938</w:t>
        </w:r>
      </w:hyperlink>
    </w:p>
    <w:bookmarkEnd w:id="138"/>
    <w:bookmarkStart w:id="139" w:name="ref-Liu21"/>
    <w:p>
      <w:pPr>
        <w:pStyle w:val="Bibliography"/>
      </w:pPr>
      <w:r>
        <w:t xml:space="preserve">Liu, Y., Weisberg, R.H., Zheng, L., Sun, Y., Chen, J., 2021. Nowcast/forecast of the</w:t>
      </w:r>
      <w:r>
        <w:t xml:space="preserve"> </w:t>
      </w:r>
      <w:r>
        <w:t xml:space="preserve">T</w:t>
      </w:r>
      <w:r>
        <w:t xml:space="preserve">ampa</w:t>
      </w:r>
      <w:r>
        <w:t xml:space="preserve"> </w:t>
      </w:r>
      <w:r>
        <w:t xml:space="preserve">B</w:t>
      </w:r>
      <w:r>
        <w:t xml:space="preserve">ay,</w:t>
      </w:r>
      <w:r>
        <w:t xml:space="preserve"> </w:t>
      </w:r>
      <w:r>
        <w:t xml:space="preserve">P</w:t>
      </w:r>
      <w:r>
        <w:t xml:space="preserve">iney</w:t>
      </w:r>
      <w:r>
        <w:t xml:space="preserve"> </w:t>
      </w:r>
      <w:r>
        <w:t xml:space="preserve">P</w:t>
      </w:r>
      <w:r>
        <w:t xml:space="preserve">oint effluent plume: A rapid response, in: Abstract (Os35b-1036) Presented at AGU Fall Meeting, December, 2021. New Orleans, Lousiana.</w:t>
      </w:r>
    </w:p>
    <w:bookmarkEnd w:id="139"/>
    <w:bookmarkStart w:id="141"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40">
        <w:r>
          <w:rPr>
            <w:rStyle w:val="Hyperlink"/>
          </w:rPr>
          <w:t xml:space="preserve">https://doi.org/10.1016/j.ocecoaman.2005.07.002</w:t>
        </w:r>
      </w:hyperlink>
    </w:p>
    <w:bookmarkEnd w:id="141"/>
    <w:bookmarkStart w:id="143"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42">
        <w:r>
          <w:rPr>
            <w:rStyle w:val="Hyperlink"/>
          </w:rPr>
          <w:t xml:space="preserve">https://doi.org/10.1016/j.hal.2020.101900</w:t>
        </w:r>
      </w:hyperlink>
    </w:p>
    <w:bookmarkEnd w:id="143"/>
    <w:bookmarkStart w:id="145"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4">
        <w:r>
          <w:rPr>
            <w:rStyle w:val="Hyperlink"/>
          </w:rPr>
          <w:t xml:space="preserve">https://doi.org/10.1016/j.envsoft.2019.03.027</w:t>
        </w:r>
      </w:hyperlink>
    </w:p>
    <w:bookmarkEnd w:id="145"/>
    <w:bookmarkStart w:id="147" w:name="ref-Nelson21"/>
    <w:p>
      <w:pPr>
        <w:pStyle w:val="Bibliography"/>
      </w:pPr>
      <w:r>
        <w:t xml:space="preserve">Nelson, N.G., Cuchiara, M.L., Hendren, C.O., Jones, J.L., Marshall, A.M., 2021. Hazardous spills at retired fertilizer manufacturing plants will continue to occur in the absence of scientific innovation and regulatory enforcement. Environmental Science &amp; Technology -, –.</w:t>
      </w:r>
      <w:r>
        <w:t xml:space="preserve"> </w:t>
      </w:r>
      <w:hyperlink r:id="rId146">
        <w:r>
          <w:rPr>
            <w:rStyle w:val="Hyperlink"/>
          </w:rPr>
          <w:t xml:space="preserve">https://doi.org/10.1021/acs.est.1c05311</w:t>
        </w:r>
      </w:hyperlink>
    </w:p>
    <w:bookmarkEnd w:id="147"/>
    <w:bookmarkStart w:id="149"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8">
        <w:r>
          <w:rPr>
            <w:rStyle w:val="Hyperlink"/>
          </w:rPr>
          <w:t xml:space="preserve">https://doi.org/10.32614/RJ-2018-009</w:t>
        </w:r>
      </w:hyperlink>
    </w:p>
    <w:bookmarkEnd w:id="149"/>
    <w:bookmarkStart w:id="151"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50">
        <w:r>
          <w:rPr>
            <w:rStyle w:val="Hyperlink"/>
          </w:rPr>
          <w:t xml:space="preserve">https://doi.org/10.1016/j.scitotenv.2016.02.070</w:t>
        </w:r>
      </w:hyperlink>
    </w:p>
    <w:bookmarkEnd w:id="151"/>
    <w:bookmarkStart w:id="153"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52">
        <w:r>
          <w:rPr>
            <w:rStyle w:val="Hyperlink"/>
          </w:rPr>
          <w:t xml:space="preserve">https://doi.org/10.1016/j.apgeochem.2010.02.003</w:t>
        </w:r>
      </w:hyperlink>
    </w:p>
    <w:bookmarkEnd w:id="153"/>
    <w:bookmarkStart w:id="154" w:name="ref-RCT20"/>
    <w:p>
      <w:pPr>
        <w:pStyle w:val="Bibliography"/>
      </w:pPr>
      <w:r>
        <w:t xml:space="preserve">R Core Team, 2021. R: A language and environment for statistical computing, v4.1.2. R Foundation for Statistical Computing, Vienna, Austria.</w:t>
      </w:r>
    </w:p>
    <w:bookmarkEnd w:id="154"/>
    <w:bookmarkStart w:id="156" w:name="ref-Rycyk20"/>
    <w:p>
      <w:pPr>
        <w:pStyle w:val="Bibliography"/>
      </w:pPr>
      <w:r>
        <w:t xml:space="preserve">Rycyk, A.M., Moore, R.B.T., Wells, R.S., McHugh, K.A., McCabe, E.J.B., Mann, D.A., 2020. Passive acoustic listening stations (</w:t>
      </w:r>
      <w:r>
        <w:t xml:space="preserve">PALS</w:t>
      </w:r>
      <w:r>
        <w:t xml:space="preserve">) show rapid onset of ecological effects of harmful algal blooms in real time. Scientific Reports 10, 1–12.</w:t>
      </w:r>
      <w:r>
        <w:t xml:space="preserve"> </w:t>
      </w:r>
      <w:hyperlink r:id="rId155">
        <w:r>
          <w:rPr>
            <w:rStyle w:val="Hyperlink"/>
          </w:rPr>
          <w:t xml:space="preserve">https://doi.org/10.1038/s41598-020-74647-z</w:t>
        </w:r>
      </w:hyperlink>
    </w:p>
    <w:bookmarkEnd w:id="156"/>
    <w:bookmarkStart w:id="158"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7">
        <w:r>
          <w:rPr>
            <w:rStyle w:val="Hyperlink"/>
          </w:rPr>
          <w:t xml:space="preserve">https://doi.org/10.1007/s11270-013-1742-7</w:t>
        </w:r>
      </w:hyperlink>
    </w:p>
    <w:bookmarkEnd w:id="158"/>
    <w:bookmarkStart w:id="160"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59">
        <w:r>
          <w:rPr>
            <w:rStyle w:val="Hyperlink"/>
          </w:rPr>
          <w:t xml:space="preserve">https://doi.org/10.1016/j.ecolind.2020.107310</w:t>
        </w:r>
      </w:hyperlink>
    </w:p>
    <w:bookmarkEnd w:id="160"/>
    <w:bookmarkStart w:id="162"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61">
        <w:r>
          <w:rPr>
            <w:rStyle w:val="Hyperlink"/>
          </w:rPr>
          <w:t xml:space="preserve">https://doi.org/10.1353/sgo.2017.0026</w:t>
        </w:r>
      </w:hyperlink>
    </w:p>
    <w:bookmarkEnd w:id="162"/>
    <w:bookmarkStart w:id="163" w:name="ref-tbep1620"/>
    <w:p>
      <w:pPr>
        <w:pStyle w:val="Bibliography"/>
      </w:pPr>
      <w:r>
        <w:t xml:space="preserve">Sherwood, E.T., Raulerson, G., Beck, M., Burke, M., 2020.</w:t>
      </w:r>
      <w:r>
        <w:t xml:space="preserve"> </w:t>
      </w:r>
      <w:r>
        <w:t xml:space="preserve">T</w:t>
      </w:r>
      <w:r>
        <w:t xml:space="preserve">ampa</w:t>
      </w:r>
      <w:r>
        <w:t xml:space="preserve"> </w:t>
      </w:r>
      <w:r>
        <w:t xml:space="preserve">B</w:t>
      </w:r>
      <w:r>
        <w:t xml:space="preserve">ay</w:t>
      </w:r>
      <w:r>
        <w:t xml:space="preserve"> </w:t>
      </w:r>
      <w:r>
        <w:t xml:space="preserve">E</w:t>
      </w:r>
      <w:r>
        <w:t xml:space="preserve">stuary</w:t>
      </w:r>
      <w:r>
        <w:t xml:space="preserve"> </w:t>
      </w:r>
      <w:r>
        <w:t xml:space="preserve">P</w:t>
      </w:r>
      <w:r>
        <w:t xml:space="preserve">rogram: Quality management plan (No. 16-20). Tampa Bay Estuary Program, St. Petersburg, Florida.</w:t>
      </w:r>
    </w:p>
    <w:bookmarkEnd w:id="163"/>
    <w:bookmarkStart w:id="165"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64">
        <w:r>
          <w:rPr>
            <w:rStyle w:val="Hyperlink"/>
          </w:rPr>
          <w:t xml:space="preserve">https://doi.org/10.1016/j.hal.2021.102118</w:t>
        </w:r>
      </w:hyperlink>
    </w:p>
    <w:bookmarkEnd w:id="165"/>
    <w:bookmarkStart w:id="167"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66">
        <w:r>
          <w:rPr>
            <w:rStyle w:val="Hyperlink"/>
          </w:rPr>
          <w:t xml:space="preserve">https://doi.org/10.1016/j.jembe.2005.11.025</w:t>
        </w:r>
      </w:hyperlink>
    </w:p>
    <w:bookmarkEnd w:id="167"/>
    <w:bookmarkStart w:id="169"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68">
        <w:r>
          <w:rPr>
            <w:rStyle w:val="Hyperlink"/>
          </w:rPr>
          <w:t xml:space="preserve">https://doi.org/10.1080/00139307509435842</w:t>
        </w:r>
      </w:hyperlink>
    </w:p>
    <w:bookmarkEnd w:id="169"/>
    <w:bookmarkStart w:id="171" w:name="ref-Steidinger72"/>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70">
        <w:r>
          <w:rPr>
            <w:rStyle w:val="Hyperlink"/>
          </w:rPr>
          <w:t xml:space="preserve">https://doi.org/10.1080/00139307209435473</w:t>
        </w:r>
      </w:hyperlink>
    </w:p>
    <w:bookmarkEnd w:id="171"/>
    <w:bookmarkStart w:id="173" w:name="ref-Stevens06"/>
    <w:p>
      <w:pPr>
        <w:pStyle w:val="Bibliography"/>
      </w:pPr>
      <w:r>
        <w:t xml:space="preserve">Stevens, P.W., Blewett, D.A., Casey, J.P., 2006. Short-term effects of a low dissolved oxygen event on estuarine fish assemblages following the passage of</w:t>
      </w:r>
      <w:r>
        <w:t xml:space="preserve"> </w:t>
      </w:r>
      <w:r>
        <w:t xml:space="preserve">H</w:t>
      </w:r>
      <w:r>
        <w:t xml:space="preserve">urricane</w:t>
      </w:r>
      <w:r>
        <w:t xml:space="preserve"> </w:t>
      </w:r>
      <w:r>
        <w:t xml:space="preserve">C</w:t>
      </w:r>
      <w:r>
        <w:t xml:space="preserve">harley. Estuaries and coasts 29, 997–1003.</w:t>
      </w:r>
      <w:r>
        <w:t xml:space="preserve"> </w:t>
      </w:r>
      <w:hyperlink r:id="rId172">
        <w:r>
          <w:rPr>
            <w:rStyle w:val="Hyperlink"/>
          </w:rPr>
          <w:t xml:space="preserve">https://doi.org/10.1007/BF02798661</w:t>
        </w:r>
      </w:hyperlink>
    </w:p>
    <w:bookmarkEnd w:id="173"/>
    <w:bookmarkStart w:id="174"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74"/>
    <w:bookmarkStart w:id="176"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75">
        <w:r>
          <w:rPr>
            <w:rStyle w:val="Hyperlink"/>
          </w:rPr>
          <w:t xml:space="preserve">https://doi.org/10.1016/j.jenvman.2009.03.007</w:t>
        </w:r>
      </w:hyperlink>
    </w:p>
    <w:bookmarkEnd w:id="176"/>
    <w:bookmarkStart w:id="178"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77">
        <w:r>
          <w:rPr>
            <w:rStyle w:val="Hyperlink"/>
          </w:rPr>
          <w:t xml:space="preserve">https://doi.org/10.1016/j.marpolbul.2020.111247</w:t>
        </w:r>
      </w:hyperlink>
    </w:p>
    <w:bookmarkEnd w:id="178"/>
    <w:bookmarkStart w:id="180"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79">
        <w:r>
          <w:rPr>
            <w:rStyle w:val="Hyperlink"/>
          </w:rPr>
          <w:t xml:space="preserve">https://doi.org/10.4319/lo.1997.42.5_part_2.1105</w:t>
        </w:r>
      </w:hyperlink>
    </w:p>
    <w:bookmarkEnd w:id="180"/>
    <w:bookmarkStart w:id="182" w:name="ref-Wang99"/>
    <w:p>
      <w:pPr>
        <w:pStyle w:val="Bibliography"/>
      </w:pPr>
      <w:r>
        <w:t xml:space="preserve">Wang, P., Martin, J., Morrison, G., 1999. Water quality and eutrophication in</w:t>
      </w:r>
      <w:r>
        <w:t xml:space="preserve"> </w:t>
      </w:r>
      <w:r>
        <w:t xml:space="preserve">T</w:t>
      </w:r>
      <w:r>
        <w:t xml:space="preserve">ampa</w:t>
      </w:r>
      <w:r>
        <w:t xml:space="preserve"> </w:t>
      </w:r>
      <w:r>
        <w:t xml:space="preserve">B</w:t>
      </w:r>
      <w:r>
        <w:t xml:space="preserve">ay,</w:t>
      </w:r>
      <w:r>
        <w:t xml:space="preserve"> </w:t>
      </w:r>
      <w:r>
        <w:t xml:space="preserve">F</w:t>
      </w:r>
      <w:r>
        <w:t xml:space="preserve">lorida. Estuarine, Coastal and Shelf Science 49, 1–20.</w:t>
      </w:r>
      <w:r>
        <w:t xml:space="preserve"> </w:t>
      </w:r>
      <w:hyperlink r:id="rId181">
        <w:r>
          <w:rPr>
            <w:rStyle w:val="Hyperlink"/>
          </w:rPr>
          <w:t xml:space="preserve">https://doi.org/10.1006/ecss.1999.0490</w:t>
        </w:r>
      </w:hyperlink>
    </w:p>
    <w:bookmarkEnd w:id="182"/>
    <w:bookmarkStart w:id="184"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83">
        <w:r>
          <w:rPr>
            <w:rStyle w:val="Hyperlink"/>
          </w:rPr>
          <w:t xml:space="preserve">https://doi.org/10.1029/2018JC014887</w:t>
        </w:r>
      </w:hyperlink>
    </w:p>
    <w:bookmarkEnd w:id="184"/>
    <w:bookmarkStart w:id="186"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85">
        <w:r>
          <w:rPr>
            <w:rStyle w:val="Hyperlink"/>
          </w:rPr>
          <w:t xml:space="preserve">https://doi.org/10.1016/j.hal.2014.04.010</w:t>
        </w:r>
      </w:hyperlink>
    </w:p>
    <w:bookmarkEnd w:id="186"/>
    <w:bookmarkStart w:id="188"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87">
        <w:r>
          <w:rPr>
            <w:rStyle w:val="Hyperlink"/>
          </w:rPr>
          <w:t xml:space="preserve">https://doi.org/10.21105/joss.01686</w:t>
        </w:r>
      </w:hyperlink>
    </w:p>
    <w:bookmarkEnd w:id="188"/>
    <w:bookmarkStart w:id="189" w:name="ref-Wood17"/>
    <w:p>
      <w:pPr>
        <w:pStyle w:val="Bibliography"/>
      </w:pPr>
      <w:r>
        <w:t xml:space="preserve">Wood, S.N., 2017. Generalized additive models: An introduction with r, 2nd ed. Chapman; Hall, CRC Press, London, United Kingdom.</w:t>
      </w:r>
    </w:p>
    <w:bookmarkEnd w:id="189"/>
    <w:bookmarkEnd w:id="190"/>
    <w:bookmarkEnd w:id="191"/>
    <w:sectPr w:rsidR="00537D25" w:rsidRPr="00D40009" w:rsidSect="003C73CD">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7"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F9205D"/>
    <w:pPr>
      <w:spacing w:after="180" w:before="180"/>
    </w:pPr>
  </w:style>
  <w:style w:customStyle="1" w:styleId="FirstParagraph" w:type="paragraph">
    <w:name w:val="First Paragraph"/>
    <w:basedOn w:val="BodyText"/>
    <w:next w:val="BodyText"/>
    <w:qFormat/>
    <w:rsid w:val="00F9205D"/>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F9205D"/>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7" Target="media/rId67.jpg" /><Relationship Type="http://schemas.openxmlformats.org/officeDocument/2006/relationships/image" Id="rId73" Target="media/rId73.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69" Target="media/rId69.jpg" /><Relationship Type="http://schemas.openxmlformats.org/officeDocument/2006/relationships/image" Id="rId68" Target="media/rId68.jpg" /><Relationship Type="http://schemas.openxmlformats.org/officeDocument/2006/relationships/image" Id="rId74" Target="media/rId74.jpg" /><Relationship Type="http://schemas.openxmlformats.org/officeDocument/2006/relationships/image" Id="rId72" Target="media/rId72.jpg" /><Relationship Type="http://schemas.openxmlformats.org/officeDocument/2006/relationships/hyperlink" Id="rId42" Target="http://ocgweb.marine.usf.edu/~liu/Tracer/" TargetMode="External" /><Relationship Type="http://schemas.openxmlformats.org/officeDocument/2006/relationships/hyperlink" Id="rId137" Target="https://doi.org/10.1002/2016JC011938" TargetMode="External" /><Relationship Type="http://schemas.openxmlformats.org/officeDocument/2006/relationships/hyperlink" Id="rId181" Target="https://doi.org/10.1006/ecss.1999.0490" TargetMode="External" /><Relationship Type="http://schemas.openxmlformats.org/officeDocument/2006/relationships/hyperlink" Id="rId172" Target="https://doi.org/10.1007/BF02798661" TargetMode="External" /><Relationship Type="http://schemas.openxmlformats.org/officeDocument/2006/relationships/hyperlink" Id="rId113" Target="https://doi.org/10.1007/BF02803419" TargetMode="External" /><Relationship Type="http://schemas.openxmlformats.org/officeDocument/2006/relationships/hyperlink" Id="rId109" Target="https://doi.org/10.1007/s00027-011-0180-0" TargetMode="External" /><Relationship Type="http://schemas.openxmlformats.org/officeDocument/2006/relationships/hyperlink" Id="rId120" Target="https://doi.org/10.1007/s00267-005-0079-4" TargetMode="External" /><Relationship Type="http://schemas.openxmlformats.org/officeDocument/2006/relationships/hyperlink" Id="rId157" Target="https://doi.org/10.1007/s11270-013-1742-7" TargetMode="External" /><Relationship Type="http://schemas.openxmlformats.org/officeDocument/2006/relationships/hyperlink" Id="rId116" Target="https://doi.org/10.1007/s12237-010-9350-x" TargetMode="External" /><Relationship Type="http://schemas.openxmlformats.org/officeDocument/2006/relationships/hyperlink" Id="rId96" Target="https://doi.org/10.1007/s12237-013-9701-5" TargetMode="External" /><Relationship Type="http://schemas.openxmlformats.org/officeDocument/2006/relationships/hyperlink" Id="rId89" Target="https://doi.org/10.1007/s12237-017-0287-1" TargetMode="External" /><Relationship Type="http://schemas.openxmlformats.org/officeDocument/2006/relationships/hyperlink" Id="rId94" Target="https://doi.org/10.1016/S0265-931X(00)00164-8" TargetMode="External" /><Relationship Type="http://schemas.openxmlformats.org/officeDocument/2006/relationships/hyperlink" Id="rId133" Target="https://doi.org/10.1016/S0302-3524(80)80065-X" TargetMode="External" /><Relationship Type="http://schemas.openxmlformats.org/officeDocument/2006/relationships/hyperlink" Id="rId152" Target="https://doi.org/10.1016/j.apgeochem.2010.02.003" TargetMode="External" /><Relationship Type="http://schemas.openxmlformats.org/officeDocument/2006/relationships/hyperlink" Id="rId159" Target="https://doi.org/10.1016/j.ecolind.2020.107310" TargetMode="External" /><Relationship Type="http://schemas.openxmlformats.org/officeDocument/2006/relationships/hyperlink" Id="rId122" Target="https://doi.org/10.1016/j.ecss.2014.10.003" TargetMode="External" /><Relationship Type="http://schemas.openxmlformats.org/officeDocument/2006/relationships/hyperlink" Id="rId144"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85" Target="https://doi.org/10.1016/j.hal.2014.04.010" TargetMode="External" /><Relationship Type="http://schemas.openxmlformats.org/officeDocument/2006/relationships/hyperlink" Id="rId142" Target="https://doi.org/10.1016/j.hal.2020.101900" TargetMode="External" /><Relationship Type="http://schemas.openxmlformats.org/officeDocument/2006/relationships/hyperlink" Id="rId164" Target="https://doi.org/10.1016/j.hal.2021.102118" TargetMode="External" /><Relationship Type="http://schemas.openxmlformats.org/officeDocument/2006/relationships/hyperlink" Id="rId166" Target="https://doi.org/10.1016/j.jembe.2005.11.025" TargetMode="External" /><Relationship Type="http://schemas.openxmlformats.org/officeDocument/2006/relationships/hyperlink" Id="rId175"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8" Target="https://doi.org/10.1016/j.marpolbul.2010.11.017" TargetMode="External" /><Relationship Type="http://schemas.openxmlformats.org/officeDocument/2006/relationships/hyperlink" Id="rId111" Target="https://doi.org/10.1016/j.marpolbul.2015.10.047" TargetMode="External" /><Relationship Type="http://schemas.openxmlformats.org/officeDocument/2006/relationships/hyperlink" Id="rId177" Target="https://doi.org/10.1016/j.marpolbul.2020.111247" TargetMode="External" /><Relationship Type="http://schemas.openxmlformats.org/officeDocument/2006/relationships/hyperlink" Id="rId140" Target="https://doi.org/10.1016/j.ocecoaman.2005.07.002" TargetMode="External" /><Relationship Type="http://schemas.openxmlformats.org/officeDocument/2006/relationships/hyperlink" Id="rId150" Target="https://doi.org/10.1016/j.scitotenv.2016.02.070" TargetMode="External" /><Relationship Type="http://schemas.openxmlformats.org/officeDocument/2006/relationships/hyperlink" Id="rId146" Target="https://doi.org/10.1021/acs.est.1c05311" TargetMode="External" /><Relationship Type="http://schemas.openxmlformats.org/officeDocument/2006/relationships/hyperlink" Id="rId183" Target="https://doi.org/10.1029/2018JC014887" TargetMode="External" /><Relationship Type="http://schemas.openxmlformats.org/officeDocument/2006/relationships/hyperlink" Id="rId100" Target="https://doi.org/10.1029/2018JC014890" TargetMode="External" /><Relationship Type="http://schemas.openxmlformats.org/officeDocument/2006/relationships/hyperlink" Id="rId155" Target="https://doi.org/10.1038/s41598-020-74647-z" TargetMode="External" /><Relationship Type="http://schemas.openxmlformats.org/officeDocument/2006/relationships/hyperlink" Id="rId170" Target="https://doi.org/10.1080/00139307209435473" TargetMode="External" /><Relationship Type="http://schemas.openxmlformats.org/officeDocument/2006/relationships/hyperlink" Id="rId168" Target="https://doi.org/10.1080/00139307509435842" TargetMode="External" /><Relationship Type="http://schemas.openxmlformats.org/officeDocument/2006/relationships/hyperlink" Id="rId161" Target="https://doi.org/10.1353/sgo.2017.0026" TargetMode="External" /><Relationship Type="http://schemas.openxmlformats.org/officeDocument/2006/relationships/hyperlink" Id="rId87" Target="https://doi.org/10.18785/gcr.2901.02" TargetMode="External" /><Relationship Type="http://schemas.openxmlformats.org/officeDocument/2006/relationships/hyperlink" Id="rId102" Target="https://doi.org/10.1890/1051-0761(2006)016[1405:UOGMAI]2.0.CO;2" TargetMode="External" /><Relationship Type="http://schemas.openxmlformats.org/officeDocument/2006/relationships/hyperlink" Id="rId187" Target="https://doi.org/10.21105/joss.01686" TargetMode="External" /><Relationship Type="http://schemas.openxmlformats.org/officeDocument/2006/relationships/hyperlink" Id="rId91" Target="https://doi.org/10.21105/joss.03485" TargetMode="External" /><Relationship Type="http://schemas.openxmlformats.org/officeDocument/2006/relationships/hyperlink" Id="rId128" Target="https://doi.org/10.2113/gselements.7.6.375" TargetMode="External" /><Relationship Type="http://schemas.openxmlformats.org/officeDocument/2006/relationships/hyperlink" Id="rId148" Target="https://doi.org/10.32614/RJ-2018-009" TargetMode="External" /><Relationship Type="http://schemas.openxmlformats.org/officeDocument/2006/relationships/hyperlink" Id="rId98"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79" Target="https://doi.org/10.4319/lo.1997.42.5_part_2.1105" TargetMode="External" /><Relationship Type="http://schemas.openxmlformats.org/officeDocument/2006/relationships/hyperlink" Id="rId85" Target="https://doi.org/10.5281/zenodo.4666494" TargetMode="External" /><Relationship Type="http://schemas.openxmlformats.org/officeDocument/2006/relationships/hyperlink" Id="rId83" Target="https://doi.org/doi:10.5063/F1959G05" TargetMode="External" /><Relationship Type="http://schemas.openxmlformats.org/officeDocument/2006/relationships/hyperlink" Id="rId44" Target="https://drive.google.com/drive/u/0/folders/1oBGvjdve-Gpo4Kn3Ovn8a8-yVoP25eec" TargetMode="External" /><Relationship Type="http://schemas.openxmlformats.org/officeDocument/2006/relationships/hyperlink" Id="rId40" Target="https://floridadep.gov/sites/default/files/21-0323.pdf" TargetMode="External" /><Relationship Type="http://schemas.openxmlformats.org/officeDocument/2006/relationships/hyperlink" Id="rId52" Target="https://github.com/tbep-tech/piney-point-manu" TargetMode="External" /><Relationship Type="http://schemas.openxmlformats.org/officeDocument/2006/relationships/hyperlink" Id="rId46" Target="https://myfwc.com/research/redtide/monitoring/database/" TargetMode="External" /><Relationship Type="http://schemas.openxmlformats.org/officeDocument/2006/relationships/hyperlink" Id="rId47" Target="https://myfwc.com/research/redtide/statewid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48" Target="https://public.myfwc.com/fwri/FishKillReport/searchresults.aspx" TargetMode="External" /><Relationship Type="http://schemas.openxmlformats.org/officeDocument/2006/relationships/hyperlink" Id="rId51" Target="https://shiny.tbep.org/piney-point/" TargetMode="External" /><Relationship Type="http://schemas.openxmlformats.org/officeDocument/2006/relationships/hyperlink" Id="rId56" Target="https://shiny.tbep.org/seagrasstransect-dash" TargetMode="External" /><Relationship Type="http://schemas.openxmlformats.org/officeDocument/2006/relationships/hyperlink" Id="rId62" Target="https://tbep-tech.github.io/load-estimates/" TargetMode="External" /><Relationship Type="http://schemas.openxmlformats.org/officeDocument/2006/relationships/hyperlink" Id="rId61" Target="https://tbep-tech.github.io/piney-point-analysis/spills" TargetMode="External" /><Relationship Type="http://schemas.openxmlformats.org/officeDocument/2006/relationships/hyperlink" Id="rId45" Target="https://tbep.org/our-work/boards-committees/technical-advisory-committee/#ramp" TargetMode="External" /><Relationship Type="http://schemas.openxmlformats.org/officeDocument/2006/relationships/hyperlink" Id="rId50" Target="https://wateratlas.usf.edu/" TargetMode="External" /><Relationship Type="http://schemas.openxmlformats.org/officeDocument/2006/relationships/hyperlink" Id="rId107"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_rels/footnotes.xml.rels><?xml version="1.0" encoding="UTF-8"?><Relationships xmlns="http://schemas.openxmlformats.org/package/2006/relationships"><Relationship Type="http://schemas.openxmlformats.org/officeDocument/2006/relationships/hyperlink" Id="rId42" Target="http://ocgweb.marine.usf.edu/~liu/Tracer/" TargetMode="External" /><Relationship Type="http://schemas.openxmlformats.org/officeDocument/2006/relationships/hyperlink" Id="rId137" Target="https://doi.org/10.1002/2016JC011938" TargetMode="External" /><Relationship Type="http://schemas.openxmlformats.org/officeDocument/2006/relationships/hyperlink" Id="rId181" Target="https://doi.org/10.1006/ecss.1999.0490" TargetMode="External" /><Relationship Type="http://schemas.openxmlformats.org/officeDocument/2006/relationships/hyperlink" Id="rId172" Target="https://doi.org/10.1007/BF02798661" TargetMode="External" /><Relationship Type="http://schemas.openxmlformats.org/officeDocument/2006/relationships/hyperlink" Id="rId113" Target="https://doi.org/10.1007/BF02803419" TargetMode="External" /><Relationship Type="http://schemas.openxmlformats.org/officeDocument/2006/relationships/hyperlink" Id="rId109" Target="https://doi.org/10.1007/s00027-011-0180-0" TargetMode="External" /><Relationship Type="http://schemas.openxmlformats.org/officeDocument/2006/relationships/hyperlink" Id="rId120" Target="https://doi.org/10.1007/s00267-005-0079-4" TargetMode="External" /><Relationship Type="http://schemas.openxmlformats.org/officeDocument/2006/relationships/hyperlink" Id="rId157" Target="https://doi.org/10.1007/s11270-013-1742-7" TargetMode="External" /><Relationship Type="http://schemas.openxmlformats.org/officeDocument/2006/relationships/hyperlink" Id="rId116" Target="https://doi.org/10.1007/s12237-010-9350-x" TargetMode="External" /><Relationship Type="http://schemas.openxmlformats.org/officeDocument/2006/relationships/hyperlink" Id="rId96" Target="https://doi.org/10.1007/s12237-013-9701-5" TargetMode="External" /><Relationship Type="http://schemas.openxmlformats.org/officeDocument/2006/relationships/hyperlink" Id="rId89" Target="https://doi.org/10.1007/s12237-017-0287-1" TargetMode="External" /><Relationship Type="http://schemas.openxmlformats.org/officeDocument/2006/relationships/hyperlink" Id="rId94" Target="https://doi.org/10.1016/S0265-931X(00)00164-8" TargetMode="External" /><Relationship Type="http://schemas.openxmlformats.org/officeDocument/2006/relationships/hyperlink" Id="rId133" Target="https://doi.org/10.1016/S0302-3524(80)80065-X" TargetMode="External" /><Relationship Type="http://schemas.openxmlformats.org/officeDocument/2006/relationships/hyperlink" Id="rId152" Target="https://doi.org/10.1016/j.apgeochem.2010.02.003" TargetMode="External" /><Relationship Type="http://schemas.openxmlformats.org/officeDocument/2006/relationships/hyperlink" Id="rId159" Target="https://doi.org/10.1016/j.ecolind.2020.107310" TargetMode="External" /><Relationship Type="http://schemas.openxmlformats.org/officeDocument/2006/relationships/hyperlink" Id="rId122" Target="https://doi.org/10.1016/j.ecss.2014.10.003" TargetMode="External" /><Relationship Type="http://schemas.openxmlformats.org/officeDocument/2006/relationships/hyperlink" Id="rId144"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85" Target="https://doi.org/10.1016/j.hal.2014.04.010" TargetMode="External" /><Relationship Type="http://schemas.openxmlformats.org/officeDocument/2006/relationships/hyperlink" Id="rId142" Target="https://doi.org/10.1016/j.hal.2020.101900" TargetMode="External" /><Relationship Type="http://schemas.openxmlformats.org/officeDocument/2006/relationships/hyperlink" Id="rId164" Target="https://doi.org/10.1016/j.hal.2021.102118" TargetMode="External" /><Relationship Type="http://schemas.openxmlformats.org/officeDocument/2006/relationships/hyperlink" Id="rId166" Target="https://doi.org/10.1016/j.jembe.2005.11.025" TargetMode="External" /><Relationship Type="http://schemas.openxmlformats.org/officeDocument/2006/relationships/hyperlink" Id="rId175"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8" Target="https://doi.org/10.1016/j.marpolbul.2010.11.017" TargetMode="External" /><Relationship Type="http://schemas.openxmlformats.org/officeDocument/2006/relationships/hyperlink" Id="rId111" Target="https://doi.org/10.1016/j.marpolbul.2015.10.047" TargetMode="External" /><Relationship Type="http://schemas.openxmlformats.org/officeDocument/2006/relationships/hyperlink" Id="rId177" Target="https://doi.org/10.1016/j.marpolbul.2020.111247" TargetMode="External" /><Relationship Type="http://schemas.openxmlformats.org/officeDocument/2006/relationships/hyperlink" Id="rId140" Target="https://doi.org/10.1016/j.ocecoaman.2005.07.002" TargetMode="External" /><Relationship Type="http://schemas.openxmlformats.org/officeDocument/2006/relationships/hyperlink" Id="rId150" Target="https://doi.org/10.1016/j.scitotenv.2016.02.070" TargetMode="External" /><Relationship Type="http://schemas.openxmlformats.org/officeDocument/2006/relationships/hyperlink" Id="rId146" Target="https://doi.org/10.1021/acs.est.1c05311" TargetMode="External" /><Relationship Type="http://schemas.openxmlformats.org/officeDocument/2006/relationships/hyperlink" Id="rId183" Target="https://doi.org/10.1029/2018JC014887" TargetMode="External" /><Relationship Type="http://schemas.openxmlformats.org/officeDocument/2006/relationships/hyperlink" Id="rId100" Target="https://doi.org/10.1029/2018JC014890" TargetMode="External" /><Relationship Type="http://schemas.openxmlformats.org/officeDocument/2006/relationships/hyperlink" Id="rId155" Target="https://doi.org/10.1038/s41598-020-74647-z" TargetMode="External" /><Relationship Type="http://schemas.openxmlformats.org/officeDocument/2006/relationships/hyperlink" Id="rId170" Target="https://doi.org/10.1080/00139307209435473" TargetMode="External" /><Relationship Type="http://schemas.openxmlformats.org/officeDocument/2006/relationships/hyperlink" Id="rId168" Target="https://doi.org/10.1080/00139307509435842" TargetMode="External" /><Relationship Type="http://schemas.openxmlformats.org/officeDocument/2006/relationships/hyperlink" Id="rId161" Target="https://doi.org/10.1353/sgo.2017.0026" TargetMode="External" /><Relationship Type="http://schemas.openxmlformats.org/officeDocument/2006/relationships/hyperlink" Id="rId87" Target="https://doi.org/10.18785/gcr.2901.02" TargetMode="External" /><Relationship Type="http://schemas.openxmlformats.org/officeDocument/2006/relationships/hyperlink" Id="rId102" Target="https://doi.org/10.1890/1051-0761(2006)016[1405:UOGMAI]2.0.CO;2" TargetMode="External" /><Relationship Type="http://schemas.openxmlformats.org/officeDocument/2006/relationships/hyperlink" Id="rId187" Target="https://doi.org/10.21105/joss.01686" TargetMode="External" /><Relationship Type="http://schemas.openxmlformats.org/officeDocument/2006/relationships/hyperlink" Id="rId91" Target="https://doi.org/10.21105/joss.03485" TargetMode="External" /><Relationship Type="http://schemas.openxmlformats.org/officeDocument/2006/relationships/hyperlink" Id="rId128" Target="https://doi.org/10.2113/gselements.7.6.375" TargetMode="External" /><Relationship Type="http://schemas.openxmlformats.org/officeDocument/2006/relationships/hyperlink" Id="rId148" Target="https://doi.org/10.32614/RJ-2018-009" TargetMode="External" /><Relationship Type="http://schemas.openxmlformats.org/officeDocument/2006/relationships/hyperlink" Id="rId98"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79" Target="https://doi.org/10.4319/lo.1997.42.5_part_2.1105" TargetMode="External" /><Relationship Type="http://schemas.openxmlformats.org/officeDocument/2006/relationships/hyperlink" Id="rId85" Target="https://doi.org/10.5281/zenodo.4666494" TargetMode="External" /><Relationship Type="http://schemas.openxmlformats.org/officeDocument/2006/relationships/hyperlink" Id="rId83" Target="https://doi.org/doi:10.5063/F1959G05" TargetMode="External" /><Relationship Type="http://schemas.openxmlformats.org/officeDocument/2006/relationships/hyperlink" Id="rId44" Target="https://drive.google.com/drive/u/0/folders/1oBGvjdve-Gpo4Kn3Ovn8a8-yVoP25eec" TargetMode="External" /><Relationship Type="http://schemas.openxmlformats.org/officeDocument/2006/relationships/hyperlink" Id="rId40" Target="https://floridadep.gov/sites/default/files/21-0323.pdf" TargetMode="External" /><Relationship Type="http://schemas.openxmlformats.org/officeDocument/2006/relationships/hyperlink" Id="rId52" Target="https://github.com/tbep-tech/piney-point-manu" TargetMode="External" /><Relationship Type="http://schemas.openxmlformats.org/officeDocument/2006/relationships/hyperlink" Id="rId46" Target="https://myfwc.com/research/redtide/monitoring/database/" TargetMode="External" /><Relationship Type="http://schemas.openxmlformats.org/officeDocument/2006/relationships/hyperlink" Id="rId47" Target="https://myfwc.com/research/redtide/statewid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48" Target="https://public.myfwc.com/fwri/FishKillReport/searchresults.aspx" TargetMode="External" /><Relationship Type="http://schemas.openxmlformats.org/officeDocument/2006/relationships/hyperlink" Id="rId51" Target="https://shiny.tbep.org/piney-point/" TargetMode="External" /><Relationship Type="http://schemas.openxmlformats.org/officeDocument/2006/relationships/hyperlink" Id="rId56" Target="https://shiny.tbep.org/seagrasstransect-dash" TargetMode="External" /><Relationship Type="http://schemas.openxmlformats.org/officeDocument/2006/relationships/hyperlink" Id="rId62" Target="https://tbep-tech.github.io/load-estimates/" TargetMode="External" /><Relationship Type="http://schemas.openxmlformats.org/officeDocument/2006/relationships/hyperlink" Id="rId61" Target="https://tbep-tech.github.io/piney-point-analysis/spills" TargetMode="External" /><Relationship Type="http://schemas.openxmlformats.org/officeDocument/2006/relationships/hyperlink" Id="rId45" Target="https://tbep.org/our-work/boards-committees/technical-advisory-committee/#ramp" TargetMode="External" /><Relationship Type="http://schemas.openxmlformats.org/officeDocument/2006/relationships/hyperlink" Id="rId50" Target="https://wateratlas.usf.edu/" TargetMode="External" /><Relationship Type="http://schemas.openxmlformats.org/officeDocument/2006/relationships/hyperlink" Id="rId107"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nutrient-rich Piney Point release into Tampa Bay, Florida</dc:title>
  <dc:creator>Marcus W. Beck (mbeck@tbep.org), Andrew Altieri (andrew.altieri@essie.ufl.edu), Christine Angelini (christine.angelini@essie.ufl.edu), Maya C. Burke (mburke@tbep.org), Jing Chen (jchen15@usf.edu), Diana W. Chin (diwchin@gmail.com), Jayne Gardiner (jgardiner@ncf.edu), Katherine A. Hubbard (katherine.hubbard@myfwc.com),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Robert H. Weisberg (weisberg@usf.edu), Joe Whalen (jwhalen@tbep.org)</dc:creator>
  <cp:keywords/>
  <dcterms:created xsi:type="dcterms:W3CDTF">2022-01-31T22:31:39Z</dcterms:created>
  <dcterms:modified xsi:type="dcterms:W3CDTF">2022-01-31T22:31:39Z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